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tabs>
          <w:tab w:val="left" w:pos="3675"/>
        </w:tabs>
        <w:spacing w:line="276" w:lineRule="auto"/>
        <w:ind w:firstLine="0"/>
        <w:rPr>
          <w:b/>
          <w:szCs w:val="28"/>
          <w:highlight w:val="none"/>
          <w:lang w:eastAsia="ru-RU"/>
        </w:rPr>
      </w:pPr>
      <w:r>
        <w:rPr>
          <w:b/>
          <w:szCs w:val="28"/>
          <w:highlight w:val="none"/>
          <w:lang w:eastAsia="ru-RU"/>
        </w:rPr>
        <w:drawing>
          <wp:inline distT="0" distB="0" distL="0" distR="0">
            <wp:extent cx="2292985" cy="668655"/>
            <wp:effectExtent l="0" t="0" r="0" b="0"/>
            <wp:docPr id="3" name="Рисунок 3" descr="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descr="Лого"/>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292985" cy="668655"/>
                    </a:xfrm>
                    <a:prstGeom prst="rect">
                      <a:avLst/>
                    </a:prstGeom>
                    <a:noFill/>
                    <a:ln>
                      <a:noFill/>
                    </a:ln>
                  </pic:spPr>
                </pic:pic>
              </a:graphicData>
            </a:graphic>
          </wp:inline>
        </w:drawing>
      </w:r>
    </w:p>
    <w:p>
      <w:pPr>
        <w:shd w:val="clear"/>
        <w:spacing w:line="276" w:lineRule="auto"/>
        <w:ind w:firstLine="0"/>
        <w:rPr>
          <w:b/>
          <w:sz w:val="24"/>
          <w:szCs w:val="24"/>
          <w:highlight w:val="none"/>
        </w:rPr>
      </w:pPr>
      <w:r>
        <w:rPr>
          <w:b/>
          <w:sz w:val="24"/>
          <w:szCs w:val="24"/>
          <w:highlight w:val="none"/>
          <w:lang w:eastAsia="ru-RU"/>
        </w:rPr>
        <w:drawing>
          <wp:inline distT="0" distB="0" distL="0" distR="0">
            <wp:extent cx="6100445" cy="2730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100445" cy="27305"/>
                    </a:xfrm>
                    <a:prstGeom prst="rect">
                      <a:avLst/>
                    </a:prstGeom>
                    <a:noFill/>
                    <a:ln>
                      <a:noFill/>
                    </a:ln>
                  </pic:spPr>
                </pic:pic>
              </a:graphicData>
            </a:graphic>
          </wp:inline>
        </w:drawing>
      </w:r>
    </w:p>
    <w:p>
      <w:pPr>
        <w:pStyle w:val="21"/>
        <w:shd w:val="clear"/>
        <w:spacing w:line="276" w:lineRule="auto"/>
        <w:jc w:val="both"/>
        <w:rPr>
          <w:highlight w:val="none"/>
        </w:rPr>
      </w:pPr>
    </w:p>
    <w:p>
      <w:pPr>
        <w:shd w:val="clear"/>
        <w:spacing w:after="120" w:line="276" w:lineRule="auto"/>
        <w:ind w:firstLine="0"/>
        <w:rPr>
          <w:sz w:val="24"/>
          <w:szCs w:val="24"/>
          <w:highlight w:val="none"/>
        </w:rPr>
      </w:pPr>
    </w:p>
    <w:p>
      <w:pPr>
        <w:shd w:val="clear"/>
        <w:spacing w:after="120" w:line="276" w:lineRule="auto"/>
        <w:ind w:firstLine="0"/>
        <w:rPr>
          <w:b/>
          <w:sz w:val="20"/>
          <w:szCs w:val="20"/>
          <w:highlight w:val="none"/>
        </w:rPr>
      </w:pPr>
      <w:r>
        <w:rPr>
          <w:b/>
          <w:sz w:val="20"/>
          <w:szCs w:val="20"/>
          <w:highlight w:val="none"/>
        </w:rPr>
        <w:t xml:space="preserve"> </w:t>
      </w:r>
    </w:p>
    <w:p>
      <w:pPr>
        <w:shd w:val="clear"/>
        <w:spacing w:after="120" w:line="276" w:lineRule="auto"/>
        <w:ind w:firstLine="0"/>
        <w:rPr>
          <w:b/>
          <w:sz w:val="20"/>
          <w:szCs w:val="20"/>
          <w:highlight w:val="none"/>
        </w:rPr>
      </w:pPr>
    </w:p>
    <w:p>
      <w:pPr>
        <w:shd w:val="clear"/>
        <w:spacing w:after="120" w:line="276" w:lineRule="auto"/>
        <w:ind w:firstLine="0"/>
        <w:rPr>
          <w:b/>
          <w:sz w:val="20"/>
          <w:szCs w:val="20"/>
          <w:highlight w:val="none"/>
        </w:rPr>
      </w:pPr>
    </w:p>
    <w:p>
      <w:pPr>
        <w:shd w:val="clear"/>
        <w:spacing w:after="120" w:line="276" w:lineRule="auto"/>
        <w:jc w:val="center"/>
        <w:rPr>
          <w:b/>
          <w:sz w:val="20"/>
          <w:szCs w:val="20"/>
          <w:highlight w:val="none"/>
        </w:rPr>
      </w:pPr>
    </w:p>
    <w:p>
      <w:pPr>
        <w:shd w:val="clear"/>
        <w:spacing w:line="276" w:lineRule="auto"/>
        <w:ind w:firstLine="0"/>
        <w:jc w:val="center"/>
        <w:rPr>
          <w:b/>
          <w:smallCaps/>
          <w:sz w:val="32"/>
          <w:szCs w:val="36"/>
          <w:highlight w:val="none"/>
        </w:rPr>
      </w:pPr>
      <w:r>
        <w:rPr>
          <w:b/>
          <w:bCs/>
          <w:sz w:val="32"/>
          <w:szCs w:val="32"/>
          <w:highlight w:val="none"/>
        </w:rPr>
        <w:t>ВЫПОЛНЕНИЕ ИНЖЕНЕРНЫХ ИЗЫСКАНИЙ ДЛЯ ПОДГОТОВКИ ДОКУМЕНТАЦИИ ПО ПЛАНИРОВКЕ ТЕРРИТОРИИ. РАЗРАБОТКА ПРОЕКТА ПЛАНИРОВКИ ТЕРРИТОРИИ И ПОДГОТОВКА ПРОЕКТА МЕЖЕВАНИЯ ТЕРРИТОРИИ КВАРТАЛА № 1</w:t>
      </w:r>
      <w:r>
        <w:rPr>
          <w:rFonts w:hint="default"/>
          <w:b/>
          <w:bCs/>
          <w:sz w:val="32"/>
          <w:szCs w:val="32"/>
          <w:highlight w:val="none"/>
          <w:lang w:val="ru-RU"/>
        </w:rPr>
        <w:t>5</w:t>
      </w:r>
      <w:r>
        <w:rPr>
          <w:b/>
          <w:bCs/>
          <w:sz w:val="32"/>
          <w:szCs w:val="32"/>
          <w:highlight w:val="none"/>
        </w:rPr>
        <w:t xml:space="preserve"> ПГТ. НОГЛИКИ МУНИЦИПАЛЬНОГО ОБРАЗОВАНИЯ </w:t>
      </w:r>
      <w:r>
        <w:rPr>
          <w:b/>
          <w:bCs/>
          <w:sz w:val="32"/>
          <w:szCs w:val="32"/>
          <w:highlight w:val="none"/>
        </w:rPr>
        <w:br w:type="textWrapping"/>
      </w:r>
      <w:r>
        <w:rPr>
          <w:b/>
          <w:bCs/>
          <w:sz w:val="32"/>
          <w:szCs w:val="32"/>
          <w:highlight w:val="none"/>
        </w:rPr>
        <w:t>«ГОРОДСКОЙ ОКРУГ НОГЛИКСКИЙ»</w:t>
      </w:r>
    </w:p>
    <w:p>
      <w:pPr>
        <w:shd w:val="clear"/>
        <w:spacing w:line="276" w:lineRule="auto"/>
        <w:ind w:firstLine="0"/>
        <w:jc w:val="center"/>
        <w:rPr>
          <w:b/>
          <w:smallCaps/>
          <w:sz w:val="32"/>
          <w:szCs w:val="36"/>
          <w:highlight w:val="none"/>
        </w:rPr>
      </w:pPr>
    </w:p>
    <w:p>
      <w:pPr>
        <w:shd w:val="clear"/>
        <w:spacing w:line="276" w:lineRule="auto"/>
        <w:ind w:firstLine="0"/>
        <w:jc w:val="center"/>
        <w:rPr>
          <w:b/>
          <w:smallCaps/>
          <w:sz w:val="32"/>
          <w:szCs w:val="36"/>
          <w:highlight w:val="none"/>
        </w:rPr>
      </w:pPr>
      <w:r>
        <w:rPr>
          <w:b/>
          <w:smallCaps/>
          <w:sz w:val="32"/>
          <w:szCs w:val="36"/>
          <w:highlight w:val="none"/>
        </w:rPr>
        <w:t>МАТЕРИАЛЫ ПО ОБОСНОВАНИЮ</w:t>
      </w:r>
    </w:p>
    <w:p>
      <w:pPr>
        <w:shd w:val="clear"/>
        <w:spacing w:line="276" w:lineRule="auto"/>
        <w:ind w:firstLine="0"/>
        <w:jc w:val="center"/>
        <w:rPr>
          <w:b/>
          <w:smallCaps/>
          <w:sz w:val="32"/>
          <w:szCs w:val="36"/>
          <w:highlight w:val="none"/>
        </w:rPr>
      </w:pPr>
      <w:r>
        <w:rPr>
          <w:b/>
          <w:smallCaps/>
          <w:sz w:val="32"/>
          <w:szCs w:val="36"/>
          <w:highlight w:val="none"/>
        </w:rPr>
        <w:t>ПРОЕКТА ПЛАНИРОВКИ ТЕРРИТОРИИ</w:t>
      </w:r>
    </w:p>
    <w:p>
      <w:pPr>
        <w:shd w:val="clear"/>
        <w:spacing w:line="276" w:lineRule="auto"/>
        <w:ind w:firstLine="0"/>
        <w:jc w:val="center"/>
        <w:rPr>
          <w:b/>
          <w:smallCaps/>
          <w:sz w:val="32"/>
          <w:szCs w:val="36"/>
          <w:highlight w:val="none"/>
        </w:rPr>
      </w:pPr>
    </w:p>
    <w:p>
      <w:pPr>
        <w:shd w:val="clear"/>
        <w:spacing w:line="276" w:lineRule="auto"/>
        <w:ind w:firstLine="0"/>
        <w:jc w:val="center"/>
        <w:rPr>
          <w:b/>
          <w:smallCaps/>
          <w:sz w:val="32"/>
          <w:szCs w:val="36"/>
          <w:highlight w:val="none"/>
        </w:rPr>
      </w:pPr>
      <w:r>
        <w:rPr>
          <w:b/>
          <w:smallCaps/>
          <w:sz w:val="32"/>
          <w:szCs w:val="36"/>
          <w:highlight w:val="none"/>
        </w:rPr>
        <w:t>ТОМ 2</w:t>
      </w:r>
    </w:p>
    <w:p>
      <w:pPr>
        <w:shd w:val="clear"/>
        <w:spacing w:line="276" w:lineRule="auto"/>
        <w:ind w:firstLine="0"/>
        <w:jc w:val="center"/>
        <w:rPr>
          <w:b/>
          <w:smallCaps/>
          <w:sz w:val="32"/>
          <w:szCs w:val="36"/>
          <w:highlight w:val="none"/>
        </w:rPr>
      </w:pPr>
    </w:p>
    <w:p>
      <w:pPr>
        <w:shd w:val="clear"/>
        <w:spacing w:line="276" w:lineRule="auto"/>
        <w:ind w:firstLine="0"/>
        <w:jc w:val="center"/>
        <w:rPr>
          <w:b/>
          <w:smallCaps/>
          <w:sz w:val="32"/>
          <w:szCs w:val="36"/>
          <w:highlight w:val="none"/>
        </w:rPr>
      </w:pPr>
      <w:r>
        <w:rPr>
          <w:b/>
          <w:smallCaps/>
          <w:sz w:val="32"/>
          <w:szCs w:val="36"/>
          <w:highlight w:val="none"/>
        </w:rPr>
        <w:t>К-15</w:t>
      </w:r>
      <w:r>
        <w:rPr>
          <w:rFonts w:hint="default"/>
          <w:b/>
          <w:smallCaps/>
          <w:sz w:val="32"/>
          <w:szCs w:val="36"/>
          <w:highlight w:val="none"/>
          <w:lang w:val="ru-RU"/>
        </w:rPr>
        <w:t>4</w:t>
      </w:r>
      <w:r>
        <w:rPr>
          <w:b/>
          <w:smallCaps/>
          <w:sz w:val="32"/>
          <w:szCs w:val="36"/>
          <w:highlight w:val="none"/>
        </w:rPr>
        <w:t>/2022-ППТ-МО</w:t>
      </w:r>
    </w:p>
    <w:p>
      <w:pPr>
        <w:shd w:val="clear"/>
        <w:spacing w:line="276" w:lineRule="auto"/>
        <w:ind w:firstLine="0"/>
        <w:jc w:val="center"/>
        <w:rPr>
          <w:smallCaps/>
          <w:sz w:val="32"/>
          <w:szCs w:val="32"/>
          <w:highlight w:val="none"/>
        </w:rPr>
      </w:pPr>
    </w:p>
    <w:p>
      <w:pPr>
        <w:shd w:val="clear"/>
        <w:spacing w:line="276" w:lineRule="auto"/>
        <w:ind w:firstLine="0"/>
        <w:jc w:val="center"/>
        <w:rPr>
          <w:smallCaps/>
          <w:sz w:val="32"/>
          <w:szCs w:val="32"/>
          <w:highlight w:val="none"/>
        </w:rPr>
      </w:pPr>
    </w:p>
    <w:p>
      <w:pPr>
        <w:shd w:val="clear"/>
        <w:spacing w:line="276" w:lineRule="auto"/>
        <w:ind w:firstLine="0"/>
        <w:rPr>
          <w:smallCaps/>
          <w:sz w:val="32"/>
          <w:szCs w:val="32"/>
          <w:highlight w:val="none"/>
        </w:rPr>
      </w:pPr>
    </w:p>
    <w:p>
      <w:pPr>
        <w:shd w:val="clear"/>
        <w:spacing w:line="276" w:lineRule="auto"/>
        <w:ind w:firstLine="0"/>
        <w:rPr>
          <w:smallCaps/>
          <w:sz w:val="32"/>
          <w:szCs w:val="32"/>
          <w:highlight w:val="none"/>
        </w:rPr>
      </w:pPr>
    </w:p>
    <w:p>
      <w:pPr>
        <w:shd w:val="clear"/>
        <w:spacing w:after="120" w:line="276" w:lineRule="auto"/>
        <w:ind w:firstLine="0"/>
        <w:rPr>
          <w:sz w:val="24"/>
          <w:szCs w:val="24"/>
          <w:highlight w:val="none"/>
        </w:rPr>
      </w:pPr>
      <w:bookmarkStart w:id="0" w:name="_gjdgxs" w:colFirst="0" w:colLast="0"/>
      <w:bookmarkEnd w:id="0"/>
    </w:p>
    <w:p>
      <w:pPr>
        <w:shd w:val="clear"/>
        <w:spacing w:after="120" w:line="276" w:lineRule="auto"/>
        <w:ind w:firstLine="0"/>
        <w:rPr>
          <w:sz w:val="24"/>
          <w:szCs w:val="24"/>
          <w:highlight w:val="none"/>
        </w:rPr>
      </w:pPr>
    </w:p>
    <w:p>
      <w:pPr>
        <w:shd w:val="clear"/>
        <w:spacing w:after="120" w:line="276" w:lineRule="auto"/>
        <w:ind w:firstLine="0"/>
        <w:rPr>
          <w:sz w:val="24"/>
          <w:szCs w:val="24"/>
          <w:highlight w:val="none"/>
        </w:rPr>
      </w:pPr>
    </w:p>
    <w:p>
      <w:pPr>
        <w:shd w:val="clear"/>
        <w:spacing w:after="120" w:line="276" w:lineRule="auto"/>
        <w:ind w:firstLine="0"/>
        <w:rPr>
          <w:sz w:val="24"/>
          <w:szCs w:val="24"/>
          <w:highlight w:val="none"/>
        </w:rPr>
      </w:pPr>
    </w:p>
    <w:p>
      <w:pPr>
        <w:shd w:val="clear"/>
        <w:spacing w:after="120" w:line="276" w:lineRule="auto"/>
        <w:ind w:firstLine="0"/>
        <w:rPr>
          <w:sz w:val="24"/>
          <w:szCs w:val="24"/>
          <w:highlight w:val="none"/>
        </w:rPr>
      </w:pPr>
    </w:p>
    <w:p>
      <w:pPr>
        <w:shd w:val="clear"/>
        <w:spacing w:after="120" w:line="276" w:lineRule="auto"/>
        <w:ind w:firstLine="0"/>
        <w:jc w:val="center"/>
        <w:rPr>
          <w:sz w:val="24"/>
          <w:szCs w:val="24"/>
          <w:highlight w:val="none"/>
        </w:rPr>
      </w:pPr>
    </w:p>
    <w:p>
      <w:pPr>
        <w:shd w:val="clear"/>
        <w:spacing w:line="276" w:lineRule="auto"/>
        <w:ind w:firstLine="0"/>
        <w:jc w:val="center"/>
        <w:rPr>
          <w:rFonts w:eastAsia="Calibri"/>
          <w:sz w:val="24"/>
          <w:szCs w:val="24"/>
          <w:highlight w:val="none"/>
        </w:rPr>
      </w:pPr>
      <w:r>
        <w:rPr>
          <w:rFonts w:eastAsia="Calibri"/>
          <w:sz w:val="24"/>
          <w:szCs w:val="24"/>
          <w:highlight w:val="none"/>
        </w:rPr>
        <w:t>Санкт-Петербург – Ноглики</w:t>
      </w:r>
    </w:p>
    <w:p>
      <w:pPr>
        <w:shd w:val="clear"/>
        <w:spacing w:line="276" w:lineRule="auto"/>
        <w:ind w:firstLine="0"/>
        <w:jc w:val="center"/>
        <w:rPr>
          <w:color w:val="000000"/>
          <w:sz w:val="20"/>
          <w:szCs w:val="20"/>
          <w:highlight w:val="none"/>
        </w:rPr>
      </w:pPr>
      <w:r>
        <w:rPr>
          <w:rFonts w:eastAsia="Calibri"/>
          <w:sz w:val="24"/>
          <w:szCs w:val="24"/>
          <w:highlight w:val="none"/>
        </w:rPr>
        <w:t>2023 г.</w:t>
      </w:r>
    </w:p>
    <w:p>
      <w:pPr>
        <w:pBdr>
          <w:top w:val="none" w:color="auto" w:sz="0" w:space="0"/>
          <w:left w:val="none" w:color="auto" w:sz="0" w:space="0"/>
          <w:bottom w:val="none" w:color="auto" w:sz="0" w:space="0"/>
          <w:right w:val="none" w:color="auto" w:sz="0" w:space="0"/>
          <w:between w:val="none" w:color="auto" w:sz="0" w:space="0"/>
        </w:pBdr>
        <w:shd w:val="clear"/>
        <w:spacing w:line="276" w:lineRule="auto"/>
        <w:ind w:firstLine="0"/>
        <w:rPr>
          <w:color w:val="000000"/>
          <w:sz w:val="20"/>
          <w:szCs w:val="20"/>
          <w:highlight w:val="none"/>
        </w:rPr>
        <w:sectPr>
          <w:footerReference r:id="rId5" w:type="default"/>
          <w:pgSz w:w="11906" w:h="16838"/>
          <w:pgMar w:top="1134" w:right="851" w:bottom="1134" w:left="1701" w:header="709" w:footer="709" w:gutter="0"/>
          <w:cols w:space="720" w:num="1"/>
          <w:titlePg/>
          <w:docGrid w:linePitch="381" w:charSpace="0"/>
        </w:sectPr>
      </w:pPr>
    </w:p>
    <w:p>
      <w:pPr>
        <w:shd w:val="clear"/>
        <w:tabs>
          <w:tab w:val="left" w:pos="3675"/>
        </w:tabs>
        <w:spacing w:line="276" w:lineRule="auto"/>
        <w:ind w:firstLine="0"/>
        <w:rPr>
          <w:b/>
          <w:szCs w:val="28"/>
          <w:highlight w:val="none"/>
          <w:lang w:eastAsia="ru-RU"/>
        </w:rPr>
      </w:pPr>
      <w:r>
        <w:rPr>
          <w:b/>
          <w:szCs w:val="28"/>
          <w:highlight w:val="none"/>
          <w:lang w:eastAsia="ru-RU"/>
        </w:rPr>
        <w:drawing>
          <wp:inline distT="0" distB="0" distL="0" distR="0">
            <wp:extent cx="2292985" cy="668655"/>
            <wp:effectExtent l="0" t="0" r="0" b="0"/>
            <wp:docPr id="2" name="Рисунок 2" descr="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descr="Лого"/>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292985" cy="668655"/>
                    </a:xfrm>
                    <a:prstGeom prst="rect">
                      <a:avLst/>
                    </a:prstGeom>
                    <a:noFill/>
                    <a:ln>
                      <a:noFill/>
                    </a:ln>
                  </pic:spPr>
                </pic:pic>
              </a:graphicData>
            </a:graphic>
          </wp:inline>
        </w:drawing>
      </w:r>
    </w:p>
    <w:p>
      <w:pPr>
        <w:shd w:val="clear"/>
        <w:spacing w:line="276" w:lineRule="auto"/>
        <w:ind w:firstLine="0"/>
        <w:rPr>
          <w:b/>
          <w:sz w:val="24"/>
          <w:szCs w:val="24"/>
          <w:highlight w:val="none"/>
        </w:rPr>
      </w:pPr>
      <w:r>
        <w:rPr>
          <w:b/>
          <w:sz w:val="24"/>
          <w:szCs w:val="24"/>
          <w:highlight w:val="none"/>
          <w:lang w:eastAsia="ru-RU"/>
        </w:rPr>
        <w:drawing>
          <wp:inline distT="0" distB="0" distL="0" distR="0">
            <wp:extent cx="6100445" cy="273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100445" cy="27305"/>
                    </a:xfrm>
                    <a:prstGeom prst="rect">
                      <a:avLst/>
                    </a:prstGeom>
                    <a:noFill/>
                    <a:ln>
                      <a:noFill/>
                    </a:ln>
                  </pic:spPr>
                </pic:pic>
              </a:graphicData>
            </a:graphic>
          </wp:inline>
        </w:drawing>
      </w:r>
    </w:p>
    <w:p>
      <w:pPr>
        <w:pStyle w:val="21"/>
        <w:shd w:val="clear"/>
        <w:spacing w:line="276" w:lineRule="auto"/>
        <w:jc w:val="right"/>
        <w:rPr>
          <w:highlight w:val="none"/>
        </w:rPr>
      </w:pPr>
    </w:p>
    <w:p>
      <w:pPr>
        <w:pStyle w:val="21"/>
        <w:shd w:val="clear"/>
        <w:spacing w:line="276" w:lineRule="auto"/>
        <w:jc w:val="right"/>
        <w:rPr>
          <w:sz w:val="22"/>
          <w:szCs w:val="22"/>
          <w:highlight w:val="none"/>
        </w:rPr>
      </w:pPr>
      <w:r>
        <w:rPr>
          <w:highlight w:val="none"/>
        </w:rPr>
        <w:t xml:space="preserve"> </w:t>
      </w:r>
      <w:r>
        <w:rPr>
          <w:sz w:val="22"/>
          <w:szCs w:val="22"/>
          <w:highlight w:val="none"/>
        </w:rPr>
        <w:t xml:space="preserve">Заказчик: </w:t>
      </w:r>
    </w:p>
    <w:p>
      <w:pPr>
        <w:pStyle w:val="21"/>
        <w:shd w:val="clear"/>
        <w:spacing w:line="276" w:lineRule="auto"/>
        <w:jc w:val="right"/>
        <w:rPr>
          <w:sz w:val="22"/>
          <w:szCs w:val="22"/>
          <w:highlight w:val="none"/>
        </w:rPr>
      </w:pPr>
      <w:r>
        <w:rPr>
          <w:sz w:val="22"/>
          <w:szCs w:val="22"/>
          <w:highlight w:val="none"/>
        </w:rPr>
        <w:t xml:space="preserve">Администрация муниципального образования </w:t>
      </w:r>
    </w:p>
    <w:p>
      <w:pPr>
        <w:pStyle w:val="21"/>
        <w:shd w:val="clear"/>
        <w:spacing w:line="276" w:lineRule="auto"/>
        <w:jc w:val="right"/>
        <w:rPr>
          <w:sz w:val="22"/>
          <w:szCs w:val="22"/>
          <w:highlight w:val="none"/>
        </w:rPr>
      </w:pPr>
      <w:r>
        <w:rPr>
          <w:sz w:val="22"/>
          <w:szCs w:val="22"/>
          <w:highlight w:val="none"/>
        </w:rPr>
        <w:t xml:space="preserve">«Городской округ Ногликский» </w:t>
      </w:r>
    </w:p>
    <w:p>
      <w:pPr>
        <w:pStyle w:val="21"/>
        <w:shd w:val="clear"/>
        <w:spacing w:line="276" w:lineRule="auto"/>
        <w:jc w:val="right"/>
        <w:rPr>
          <w:sz w:val="22"/>
          <w:szCs w:val="22"/>
          <w:highlight w:val="none"/>
        </w:rPr>
      </w:pPr>
      <w:r>
        <w:rPr>
          <w:sz w:val="22"/>
          <w:szCs w:val="22"/>
          <w:highlight w:val="none"/>
        </w:rPr>
        <w:t xml:space="preserve">Муниципальный контракт: </w:t>
      </w:r>
    </w:p>
    <w:p>
      <w:pPr>
        <w:pStyle w:val="21"/>
        <w:shd w:val="clear"/>
        <w:spacing w:line="276" w:lineRule="auto"/>
        <w:jc w:val="right"/>
        <w:rPr>
          <w:sz w:val="22"/>
          <w:szCs w:val="22"/>
          <w:highlight w:val="none"/>
        </w:rPr>
      </w:pPr>
      <w:r>
        <w:rPr>
          <w:sz w:val="22"/>
          <w:szCs w:val="22"/>
          <w:highlight w:val="none"/>
        </w:rPr>
        <w:t xml:space="preserve">№ ОСиА-04-08/22 </w:t>
      </w:r>
    </w:p>
    <w:p>
      <w:pPr>
        <w:shd w:val="clear"/>
        <w:spacing w:line="276" w:lineRule="auto"/>
        <w:ind w:firstLine="0"/>
        <w:jc w:val="right"/>
        <w:rPr>
          <w:b/>
          <w:sz w:val="36"/>
          <w:szCs w:val="36"/>
          <w:highlight w:val="none"/>
        </w:rPr>
      </w:pPr>
      <w:r>
        <w:rPr>
          <w:sz w:val="22"/>
          <w:highlight w:val="none"/>
        </w:rPr>
        <w:t>от 21.09.2022г.</w:t>
      </w:r>
    </w:p>
    <w:p>
      <w:pPr>
        <w:shd w:val="clear"/>
        <w:spacing w:line="276" w:lineRule="auto"/>
        <w:ind w:firstLine="0"/>
        <w:rPr>
          <w:b/>
          <w:sz w:val="36"/>
          <w:szCs w:val="36"/>
          <w:highlight w:val="none"/>
        </w:rPr>
      </w:pPr>
    </w:p>
    <w:p>
      <w:pPr>
        <w:shd w:val="clear"/>
        <w:spacing w:line="276" w:lineRule="auto"/>
        <w:ind w:firstLine="0"/>
        <w:jc w:val="center"/>
        <w:rPr>
          <w:b/>
          <w:smallCaps/>
          <w:sz w:val="32"/>
          <w:szCs w:val="36"/>
          <w:highlight w:val="none"/>
        </w:rPr>
      </w:pPr>
      <w:r>
        <w:rPr>
          <w:b/>
          <w:bCs/>
          <w:sz w:val="32"/>
          <w:szCs w:val="32"/>
          <w:highlight w:val="none"/>
        </w:rPr>
        <w:t>ВЫПОЛНЕНИЕ ИНЖЕНЕРНЫХ ИЗЫСКАНИЙ ДЛЯ ПОДГОТОВКИ ДОКУМЕНТАЦИИ ПО ПЛАНИРОВКЕ ТЕРРИТОРИИ. РАЗРАБОТКА ПРОЕКТА ПЛАНИРОВКИ ТЕРРИТОРИИ И ПОДГОТОВКА ПРОЕКТА МЕЖЕВАНИЯ ТЕРРИТОРИИ КВАРТАЛА № 1</w:t>
      </w:r>
      <w:r>
        <w:rPr>
          <w:rFonts w:hint="default"/>
          <w:b/>
          <w:bCs/>
          <w:sz w:val="32"/>
          <w:szCs w:val="32"/>
          <w:highlight w:val="none"/>
          <w:lang w:val="ru-RU"/>
        </w:rPr>
        <w:t>5</w:t>
      </w:r>
      <w:r>
        <w:rPr>
          <w:b/>
          <w:bCs/>
          <w:sz w:val="32"/>
          <w:szCs w:val="32"/>
          <w:highlight w:val="none"/>
        </w:rPr>
        <w:t xml:space="preserve"> ПГТ. НОГЛИКИ МУНИЦИПАЛЬНОГО ОБРАЗОВАНИЯ </w:t>
      </w:r>
      <w:r>
        <w:rPr>
          <w:b/>
          <w:bCs/>
          <w:sz w:val="32"/>
          <w:szCs w:val="32"/>
          <w:highlight w:val="none"/>
        </w:rPr>
        <w:br w:type="textWrapping"/>
      </w:r>
      <w:r>
        <w:rPr>
          <w:b/>
          <w:bCs/>
          <w:sz w:val="32"/>
          <w:szCs w:val="32"/>
          <w:highlight w:val="none"/>
        </w:rPr>
        <w:t>«ГОРОДСКОЙ ОКРУГ НОГЛИКСКИЙ»</w:t>
      </w:r>
    </w:p>
    <w:p>
      <w:pPr>
        <w:shd w:val="clear"/>
        <w:spacing w:line="276" w:lineRule="auto"/>
        <w:ind w:firstLine="0"/>
        <w:jc w:val="center"/>
        <w:rPr>
          <w:b/>
          <w:smallCaps/>
          <w:sz w:val="36"/>
          <w:szCs w:val="36"/>
          <w:highlight w:val="none"/>
        </w:rPr>
      </w:pPr>
    </w:p>
    <w:p>
      <w:pPr>
        <w:shd w:val="clear"/>
        <w:spacing w:line="276" w:lineRule="auto"/>
        <w:ind w:firstLine="0"/>
        <w:jc w:val="center"/>
        <w:rPr>
          <w:b/>
          <w:smallCaps/>
          <w:sz w:val="32"/>
          <w:szCs w:val="36"/>
          <w:highlight w:val="none"/>
        </w:rPr>
      </w:pPr>
      <w:r>
        <w:rPr>
          <w:b/>
          <w:smallCaps/>
          <w:sz w:val="32"/>
          <w:szCs w:val="36"/>
          <w:highlight w:val="none"/>
        </w:rPr>
        <w:t>МАТЕРИАЛЫ ПО ОБОСНОВАНИЮ</w:t>
      </w:r>
    </w:p>
    <w:p>
      <w:pPr>
        <w:shd w:val="clear"/>
        <w:spacing w:line="276" w:lineRule="auto"/>
        <w:ind w:firstLine="0"/>
        <w:jc w:val="center"/>
        <w:rPr>
          <w:b/>
          <w:smallCaps/>
          <w:sz w:val="32"/>
          <w:szCs w:val="36"/>
          <w:highlight w:val="none"/>
        </w:rPr>
      </w:pPr>
      <w:r>
        <w:rPr>
          <w:b/>
          <w:smallCaps/>
          <w:sz w:val="32"/>
          <w:szCs w:val="36"/>
          <w:highlight w:val="none"/>
        </w:rPr>
        <w:t>ПРОЕКТА ПЛАНИРОВКИ ТЕРРИТОРИИ</w:t>
      </w:r>
    </w:p>
    <w:p>
      <w:pPr>
        <w:shd w:val="clear"/>
        <w:spacing w:line="276" w:lineRule="auto"/>
        <w:ind w:firstLine="0"/>
        <w:jc w:val="center"/>
        <w:rPr>
          <w:b/>
          <w:smallCaps/>
          <w:sz w:val="36"/>
          <w:szCs w:val="36"/>
          <w:highlight w:val="none"/>
        </w:rPr>
      </w:pPr>
    </w:p>
    <w:p>
      <w:pPr>
        <w:shd w:val="clear"/>
        <w:spacing w:line="276" w:lineRule="auto"/>
        <w:ind w:firstLine="0"/>
        <w:jc w:val="center"/>
        <w:rPr>
          <w:b/>
          <w:smallCaps/>
          <w:sz w:val="32"/>
          <w:szCs w:val="36"/>
          <w:highlight w:val="none"/>
        </w:rPr>
      </w:pPr>
      <w:r>
        <w:rPr>
          <w:b/>
          <w:smallCaps/>
          <w:sz w:val="32"/>
          <w:szCs w:val="36"/>
          <w:highlight w:val="none"/>
        </w:rPr>
        <w:t>ТОМ 2</w:t>
      </w:r>
    </w:p>
    <w:p>
      <w:pPr>
        <w:shd w:val="clear"/>
        <w:spacing w:line="276" w:lineRule="auto"/>
        <w:ind w:firstLine="0"/>
        <w:jc w:val="center"/>
        <w:rPr>
          <w:b/>
          <w:smallCaps/>
          <w:sz w:val="32"/>
          <w:szCs w:val="36"/>
          <w:highlight w:val="none"/>
        </w:rPr>
      </w:pPr>
    </w:p>
    <w:p>
      <w:pPr>
        <w:shd w:val="clear"/>
        <w:spacing w:line="276" w:lineRule="auto"/>
        <w:ind w:firstLine="0"/>
        <w:jc w:val="center"/>
        <w:rPr>
          <w:b/>
          <w:smallCaps/>
          <w:sz w:val="32"/>
          <w:szCs w:val="36"/>
          <w:highlight w:val="none"/>
        </w:rPr>
      </w:pPr>
      <w:r>
        <w:rPr>
          <w:b/>
          <w:smallCaps/>
          <w:sz w:val="32"/>
          <w:szCs w:val="36"/>
          <w:highlight w:val="none"/>
        </w:rPr>
        <w:t>К-15</w:t>
      </w:r>
      <w:r>
        <w:rPr>
          <w:rFonts w:hint="default"/>
          <w:b/>
          <w:smallCaps/>
          <w:sz w:val="32"/>
          <w:szCs w:val="36"/>
          <w:highlight w:val="none"/>
          <w:lang w:val="ru-RU"/>
        </w:rPr>
        <w:t>4</w:t>
      </w:r>
      <w:r>
        <w:rPr>
          <w:b/>
          <w:smallCaps/>
          <w:sz w:val="32"/>
          <w:szCs w:val="36"/>
          <w:highlight w:val="none"/>
        </w:rPr>
        <w:t>/2022-ППТ-МО</w:t>
      </w:r>
    </w:p>
    <w:p>
      <w:pPr>
        <w:shd w:val="clear"/>
        <w:spacing w:line="276" w:lineRule="auto"/>
        <w:ind w:firstLine="0"/>
        <w:rPr>
          <w:b/>
          <w:sz w:val="36"/>
          <w:highlight w:val="none"/>
        </w:rPr>
      </w:pPr>
    </w:p>
    <w:p>
      <w:pPr>
        <w:shd w:val="clear"/>
        <w:spacing w:line="276" w:lineRule="auto"/>
        <w:ind w:firstLine="0"/>
        <w:rPr>
          <w:b/>
          <w:sz w:val="36"/>
          <w:highlight w:val="none"/>
        </w:rPr>
      </w:pPr>
    </w:p>
    <w:p>
      <w:pPr>
        <w:shd w:val="clear"/>
        <w:spacing w:line="276" w:lineRule="auto"/>
        <w:ind w:firstLine="0"/>
        <w:rPr>
          <w:b/>
          <w:sz w:val="36"/>
          <w:highlight w:val="none"/>
        </w:rPr>
      </w:pPr>
    </w:p>
    <w:tbl>
      <w:tblPr>
        <w:tblStyle w:val="7"/>
        <w:tblW w:w="0" w:type="auto"/>
        <w:jc w:val="center"/>
        <w:tblLayout w:type="autofit"/>
        <w:tblCellMar>
          <w:top w:w="0" w:type="dxa"/>
          <w:left w:w="108" w:type="dxa"/>
          <w:bottom w:w="0" w:type="dxa"/>
          <w:right w:w="108" w:type="dxa"/>
        </w:tblCellMar>
      </w:tblPr>
      <w:tblGrid>
        <w:gridCol w:w="4767"/>
        <w:gridCol w:w="4804"/>
      </w:tblGrid>
      <w:tr>
        <w:tblPrEx>
          <w:tblCellMar>
            <w:top w:w="0" w:type="dxa"/>
            <w:left w:w="108" w:type="dxa"/>
            <w:bottom w:w="0" w:type="dxa"/>
            <w:right w:w="108" w:type="dxa"/>
          </w:tblCellMar>
        </w:tblPrEx>
        <w:trPr>
          <w:trHeight w:val="552" w:hRule="atLeast"/>
          <w:jc w:val="center"/>
        </w:trPr>
        <w:tc>
          <w:tcPr>
            <w:tcW w:w="4927" w:type="dxa"/>
            <w:shd w:val="clear" w:color="auto" w:fill="auto"/>
          </w:tcPr>
          <w:p>
            <w:pPr>
              <w:shd w:val="clear"/>
              <w:spacing w:line="276" w:lineRule="auto"/>
              <w:ind w:firstLine="0"/>
              <w:jc w:val="left"/>
              <w:rPr>
                <w:rFonts w:eastAsia="Calibri"/>
                <w:highlight w:val="none"/>
              </w:rPr>
            </w:pPr>
            <w:r>
              <w:rPr>
                <w:rFonts w:eastAsia="Calibri"/>
                <w:highlight w:val="none"/>
              </w:rPr>
              <w:t>Генеральный директор</w:t>
            </w:r>
          </w:p>
        </w:tc>
        <w:tc>
          <w:tcPr>
            <w:tcW w:w="4927" w:type="dxa"/>
            <w:shd w:val="clear" w:color="auto" w:fill="auto"/>
          </w:tcPr>
          <w:p>
            <w:pPr>
              <w:shd w:val="clear"/>
              <w:spacing w:line="276" w:lineRule="auto"/>
              <w:ind w:firstLine="0"/>
              <w:jc w:val="right"/>
              <w:rPr>
                <w:rFonts w:eastAsia="Calibri"/>
                <w:highlight w:val="none"/>
              </w:rPr>
            </w:pPr>
            <w:r>
              <w:rPr>
                <w:rFonts w:eastAsia="Calibri"/>
                <w:highlight w:val="none"/>
              </w:rPr>
              <w:t xml:space="preserve">         </w:t>
            </w:r>
            <w:r>
              <w:rPr>
                <w:rFonts w:eastAsia="Calibri"/>
                <w:highlight w:val="none"/>
                <w:lang w:val="ru-RU"/>
              </w:rPr>
              <w:t>К</w:t>
            </w:r>
            <w:r>
              <w:rPr>
                <w:rFonts w:eastAsia="Calibri"/>
                <w:highlight w:val="none"/>
              </w:rPr>
              <w:t>.</w:t>
            </w:r>
            <w:r>
              <w:rPr>
                <w:rFonts w:eastAsia="Calibri"/>
                <w:highlight w:val="none"/>
                <w:lang w:val="ru-RU"/>
              </w:rPr>
              <w:t>И</w:t>
            </w:r>
            <w:r>
              <w:rPr>
                <w:rFonts w:eastAsia="Calibri"/>
                <w:highlight w:val="none"/>
              </w:rPr>
              <w:t>. К</w:t>
            </w:r>
            <w:r>
              <w:rPr>
                <w:rFonts w:eastAsia="Calibri"/>
                <w:highlight w:val="none"/>
                <w:lang w:val="ru-RU"/>
              </w:rPr>
              <w:t>рашениннико</w:t>
            </w:r>
            <w:bookmarkStart w:id="40" w:name="_GoBack"/>
            <w:bookmarkEnd w:id="40"/>
            <w:r>
              <w:rPr>
                <w:rFonts w:eastAsia="Calibri"/>
                <w:highlight w:val="none"/>
              </w:rPr>
              <w:t>в</w:t>
            </w:r>
          </w:p>
        </w:tc>
      </w:tr>
    </w:tbl>
    <w:p>
      <w:pPr>
        <w:shd w:val="clear"/>
        <w:spacing w:line="276" w:lineRule="auto"/>
        <w:ind w:firstLine="0"/>
        <w:rPr>
          <w:highlight w:val="none"/>
        </w:rPr>
      </w:pPr>
    </w:p>
    <w:p>
      <w:pPr>
        <w:shd w:val="clear"/>
        <w:spacing w:line="276" w:lineRule="auto"/>
        <w:ind w:firstLine="0"/>
        <w:rPr>
          <w:sz w:val="36"/>
          <w:szCs w:val="36"/>
          <w:highlight w:val="none"/>
        </w:rPr>
      </w:pPr>
    </w:p>
    <w:p>
      <w:pPr>
        <w:shd w:val="clear"/>
        <w:spacing w:line="276" w:lineRule="auto"/>
        <w:ind w:firstLine="0"/>
        <w:rPr>
          <w:highlight w:val="none"/>
        </w:rPr>
      </w:pPr>
    </w:p>
    <w:p>
      <w:pPr>
        <w:shd w:val="clear"/>
        <w:spacing w:line="276" w:lineRule="auto"/>
        <w:ind w:firstLine="0"/>
        <w:rPr>
          <w:highlight w:val="none"/>
        </w:rPr>
      </w:pPr>
    </w:p>
    <w:p>
      <w:pPr>
        <w:shd w:val="clear"/>
        <w:spacing w:line="276" w:lineRule="auto"/>
        <w:ind w:firstLine="0"/>
        <w:jc w:val="center"/>
        <w:rPr>
          <w:rFonts w:eastAsia="Calibri"/>
          <w:sz w:val="24"/>
          <w:szCs w:val="24"/>
          <w:highlight w:val="none"/>
        </w:rPr>
      </w:pPr>
      <w:r>
        <w:rPr>
          <w:rFonts w:eastAsia="Calibri"/>
          <w:sz w:val="24"/>
          <w:szCs w:val="24"/>
          <w:highlight w:val="none"/>
        </w:rPr>
        <w:t>Санкт-Петербург – Ноглики</w:t>
      </w:r>
    </w:p>
    <w:p>
      <w:pPr>
        <w:shd w:val="clear"/>
        <w:spacing w:line="276" w:lineRule="auto"/>
        <w:ind w:firstLine="0"/>
        <w:jc w:val="center"/>
        <w:rPr>
          <w:rFonts w:eastAsia="Calibri"/>
          <w:sz w:val="24"/>
          <w:szCs w:val="24"/>
          <w:highlight w:val="none"/>
        </w:rPr>
        <w:sectPr>
          <w:pgSz w:w="11906" w:h="16838"/>
          <w:pgMar w:top="1134" w:right="850" w:bottom="1134" w:left="1701" w:header="708" w:footer="708" w:gutter="0"/>
          <w:cols w:space="708" w:num="1"/>
          <w:docGrid w:linePitch="360" w:charSpace="0"/>
        </w:sectPr>
      </w:pPr>
      <w:r>
        <w:rPr>
          <w:rFonts w:eastAsia="Calibri"/>
          <w:sz w:val="24"/>
          <w:szCs w:val="24"/>
          <w:highlight w:val="none"/>
        </w:rPr>
        <w:t>2023 г.</w:t>
      </w:r>
    </w:p>
    <w:p>
      <w:pPr>
        <w:shd w:val="clear"/>
        <w:spacing w:line="276" w:lineRule="auto"/>
        <w:ind w:firstLine="0"/>
        <w:jc w:val="center"/>
        <w:rPr>
          <w:b/>
          <w:sz w:val="20"/>
          <w:highlight w:val="none"/>
        </w:rPr>
      </w:pPr>
      <w:bookmarkStart w:id="1" w:name="_Toc99619084"/>
      <w:bookmarkStart w:id="2" w:name="_Toc131170270"/>
      <w:r>
        <w:rPr>
          <w:b/>
          <w:sz w:val="20"/>
          <w:highlight w:val="none"/>
        </w:rPr>
        <w:t>СОСТАВ ДОКУМЕНТАЦИИ ПО ПЛАНИРОВКЕ ТЕРРИТОРИИ</w:t>
      </w:r>
      <w:bookmarkEnd w:id="1"/>
      <w:bookmarkEnd w:id="2"/>
    </w:p>
    <w:p>
      <w:pPr>
        <w:shd w:val="clear"/>
        <w:spacing w:line="276" w:lineRule="auto"/>
        <w:ind w:firstLine="0"/>
        <w:rPr>
          <w:rFonts w:eastAsia="Calibri"/>
          <w:sz w:val="24"/>
          <w:szCs w:val="24"/>
          <w:highlight w:val="none"/>
        </w:rPr>
      </w:pPr>
    </w:p>
    <w:tbl>
      <w:tblPr>
        <w:tblStyle w:val="7"/>
        <w:tblW w:w="5000" w:type="pct"/>
        <w:tblInd w:w="0" w:type="dxa"/>
        <w:tblLayout w:type="autofit"/>
        <w:tblCellMar>
          <w:top w:w="0" w:type="dxa"/>
          <w:left w:w="108" w:type="dxa"/>
          <w:bottom w:w="0" w:type="dxa"/>
          <w:right w:w="108" w:type="dxa"/>
        </w:tblCellMar>
      </w:tblPr>
      <w:tblGrid>
        <w:gridCol w:w="2755"/>
        <w:gridCol w:w="6816"/>
      </w:tblGrid>
      <w:tr>
        <w:tblPrEx>
          <w:tblCellMar>
            <w:top w:w="0" w:type="dxa"/>
            <w:left w:w="108" w:type="dxa"/>
            <w:bottom w:w="0" w:type="dxa"/>
            <w:right w:w="108" w:type="dxa"/>
          </w:tblCellMar>
        </w:tblPrEx>
        <w:trPr>
          <w:trHeight w:val="635" w:hRule="atLeast"/>
        </w:trPr>
        <w:tc>
          <w:tcPr>
            <w:tcW w:w="1439" w:type="pct"/>
            <w:shd w:val="clear" w:color="auto" w:fill="F2F2F2"/>
            <w:vAlign w:val="center"/>
          </w:tcPr>
          <w:p>
            <w:pPr>
              <w:shd w:val="clear"/>
              <w:tabs>
                <w:tab w:val="left" w:pos="-4820"/>
              </w:tabs>
              <w:spacing w:line="276" w:lineRule="auto"/>
              <w:ind w:left="-131" w:right="-220" w:firstLine="0"/>
              <w:contextualSpacing/>
              <w:jc w:val="center"/>
              <w:rPr>
                <w:b/>
                <w:bCs/>
                <w:sz w:val="24"/>
                <w:szCs w:val="24"/>
                <w:highlight w:val="none"/>
                <w:lang w:eastAsia="ru-RU"/>
              </w:rPr>
            </w:pPr>
            <w:r>
              <w:rPr>
                <w:b/>
                <w:bCs/>
                <w:sz w:val="24"/>
                <w:szCs w:val="24"/>
                <w:highlight w:val="none"/>
                <w:lang w:eastAsia="ru-RU"/>
              </w:rPr>
              <w:t>Обозначение</w:t>
            </w:r>
          </w:p>
        </w:tc>
        <w:tc>
          <w:tcPr>
            <w:tcW w:w="3561" w:type="pct"/>
            <w:shd w:val="clear" w:color="auto" w:fill="F2F2F2"/>
            <w:vAlign w:val="center"/>
          </w:tcPr>
          <w:p>
            <w:pPr>
              <w:shd w:val="clear"/>
              <w:spacing w:line="276" w:lineRule="auto"/>
              <w:ind w:right="340" w:firstLine="0"/>
              <w:contextualSpacing/>
              <w:jc w:val="center"/>
              <w:rPr>
                <w:b/>
                <w:bCs/>
                <w:sz w:val="24"/>
                <w:szCs w:val="24"/>
                <w:highlight w:val="none"/>
                <w:lang w:eastAsia="ru-RU"/>
              </w:rPr>
            </w:pPr>
            <w:r>
              <w:rPr>
                <w:b/>
                <w:bCs/>
                <w:sz w:val="24"/>
                <w:szCs w:val="24"/>
                <w:highlight w:val="none"/>
                <w:lang w:eastAsia="ru-RU"/>
              </w:rPr>
              <w:t>Наименование</w:t>
            </w:r>
          </w:p>
        </w:tc>
      </w:tr>
      <w:tr>
        <w:tblPrEx>
          <w:tblCellMar>
            <w:top w:w="0" w:type="dxa"/>
            <w:left w:w="108" w:type="dxa"/>
            <w:bottom w:w="0" w:type="dxa"/>
            <w:right w:w="108" w:type="dxa"/>
          </w:tblCellMar>
        </w:tblPrEx>
        <w:trPr>
          <w:trHeight w:val="635" w:hRule="atLeast"/>
        </w:trPr>
        <w:tc>
          <w:tcPr>
            <w:tcW w:w="1439" w:type="pct"/>
            <w:vAlign w:val="center"/>
          </w:tcPr>
          <w:p>
            <w:pPr>
              <w:shd w:val="clear"/>
              <w:spacing w:line="276" w:lineRule="auto"/>
              <w:ind w:firstLine="0"/>
              <w:jc w:val="left"/>
              <w:rPr>
                <w:bCs/>
                <w:sz w:val="24"/>
                <w:szCs w:val="24"/>
                <w:highlight w:val="none"/>
                <w:lang w:eastAsia="ru-RU"/>
              </w:rPr>
            </w:pPr>
            <w:r>
              <w:rPr>
                <w:bCs/>
                <w:sz w:val="24"/>
                <w:szCs w:val="24"/>
                <w:highlight w:val="none"/>
                <w:lang w:eastAsia="ru-RU"/>
              </w:rPr>
              <w:t>К-15</w:t>
            </w:r>
            <w:r>
              <w:rPr>
                <w:rFonts w:hint="default"/>
                <w:bCs/>
                <w:sz w:val="24"/>
                <w:szCs w:val="24"/>
                <w:highlight w:val="none"/>
                <w:lang w:val="en-US" w:eastAsia="ru-RU"/>
              </w:rPr>
              <w:t>4</w:t>
            </w:r>
            <w:r>
              <w:rPr>
                <w:bCs/>
                <w:sz w:val="24"/>
                <w:szCs w:val="24"/>
                <w:highlight w:val="none"/>
                <w:lang w:eastAsia="ru-RU"/>
              </w:rPr>
              <w:t>/2022-ППТ-ОЧ</w:t>
            </w:r>
          </w:p>
        </w:tc>
        <w:tc>
          <w:tcPr>
            <w:tcW w:w="3561" w:type="pct"/>
            <w:vAlign w:val="center"/>
          </w:tcPr>
          <w:p>
            <w:pPr>
              <w:shd w:val="clear"/>
              <w:spacing w:line="276" w:lineRule="auto"/>
              <w:ind w:right="340" w:firstLine="0"/>
              <w:contextualSpacing/>
              <w:rPr>
                <w:bCs/>
                <w:sz w:val="24"/>
                <w:szCs w:val="24"/>
                <w:highlight w:val="none"/>
                <w:lang w:eastAsia="ru-RU"/>
              </w:rPr>
            </w:pPr>
            <w:r>
              <w:rPr>
                <w:b/>
                <w:bCs/>
                <w:sz w:val="24"/>
                <w:szCs w:val="24"/>
                <w:highlight w:val="none"/>
                <w:lang w:val="zh-CN" w:eastAsia="ru-RU"/>
              </w:rPr>
              <w:t>Том 1.</w:t>
            </w:r>
            <w:r>
              <w:rPr>
                <w:bCs/>
                <w:sz w:val="24"/>
                <w:szCs w:val="24"/>
                <w:highlight w:val="none"/>
                <w:lang w:val="zh-CN" w:eastAsia="ru-RU"/>
              </w:rPr>
              <w:t xml:space="preserve"> Основная часть проекта планировки</w:t>
            </w:r>
            <w:r>
              <w:rPr>
                <w:bCs/>
                <w:sz w:val="24"/>
                <w:szCs w:val="24"/>
                <w:highlight w:val="none"/>
                <w:lang w:eastAsia="ru-RU"/>
              </w:rPr>
              <w:t xml:space="preserve"> территории</w:t>
            </w:r>
          </w:p>
        </w:tc>
      </w:tr>
      <w:tr>
        <w:tblPrEx>
          <w:tblCellMar>
            <w:top w:w="0" w:type="dxa"/>
            <w:left w:w="108" w:type="dxa"/>
            <w:bottom w:w="0" w:type="dxa"/>
            <w:right w:w="108" w:type="dxa"/>
          </w:tblCellMar>
        </w:tblPrEx>
        <w:trPr>
          <w:trHeight w:val="635" w:hRule="atLeast"/>
        </w:trPr>
        <w:tc>
          <w:tcPr>
            <w:tcW w:w="1439" w:type="pct"/>
            <w:vAlign w:val="center"/>
          </w:tcPr>
          <w:p>
            <w:pPr>
              <w:shd w:val="clear"/>
              <w:spacing w:line="276" w:lineRule="auto"/>
              <w:ind w:firstLine="0"/>
              <w:jc w:val="left"/>
              <w:rPr>
                <w:bCs/>
                <w:sz w:val="24"/>
                <w:szCs w:val="24"/>
                <w:highlight w:val="none"/>
                <w:lang w:eastAsia="ru-RU"/>
              </w:rPr>
            </w:pPr>
            <w:r>
              <w:rPr>
                <w:bCs/>
                <w:sz w:val="24"/>
                <w:szCs w:val="24"/>
                <w:highlight w:val="none"/>
                <w:lang w:eastAsia="ru-RU"/>
              </w:rPr>
              <w:t>К-15</w:t>
            </w:r>
            <w:r>
              <w:rPr>
                <w:rFonts w:hint="default"/>
                <w:bCs/>
                <w:sz w:val="24"/>
                <w:szCs w:val="24"/>
                <w:highlight w:val="none"/>
                <w:lang w:val="en-US" w:eastAsia="ru-RU"/>
              </w:rPr>
              <w:t>4</w:t>
            </w:r>
            <w:r>
              <w:rPr>
                <w:bCs/>
                <w:sz w:val="24"/>
                <w:szCs w:val="24"/>
                <w:highlight w:val="none"/>
                <w:lang w:eastAsia="ru-RU"/>
              </w:rPr>
              <w:t>/2022</w:t>
            </w:r>
            <w:r>
              <w:rPr>
                <w:bCs/>
                <w:sz w:val="24"/>
                <w:szCs w:val="24"/>
                <w:highlight w:val="none"/>
                <w:lang w:val="zh-CN" w:eastAsia="ru-RU"/>
              </w:rPr>
              <w:t>–ППТ-</w:t>
            </w:r>
            <w:r>
              <w:rPr>
                <w:bCs/>
                <w:sz w:val="24"/>
                <w:szCs w:val="24"/>
                <w:highlight w:val="none"/>
                <w:lang w:eastAsia="ru-RU"/>
              </w:rPr>
              <w:t>МО</w:t>
            </w:r>
          </w:p>
        </w:tc>
        <w:tc>
          <w:tcPr>
            <w:tcW w:w="3561" w:type="pct"/>
            <w:vAlign w:val="center"/>
          </w:tcPr>
          <w:p>
            <w:pPr>
              <w:shd w:val="clear"/>
              <w:spacing w:line="276" w:lineRule="auto"/>
              <w:ind w:right="340" w:firstLine="0"/>
              <w:contextualSpacing/>
              <w:rPr>
                <w:bCs/>
                <w:sz w:val="24"/>
                <w:szCs w:val="24"/>
                <w:highlight w:val="none"/>
                <w:lang w:eastAsia="ru-RU"/>
              </w:rPr>
            </w:pPr>
            <w:r>
              <w:rPr>
                <w:b/>
                <w:bCs/>
                <w:sz w:val="24"/>
                <w:szCs w:val="24"/>
                <w:highlight w:val="none"/>
                <w:lang w:val="zh-CN" w:eastAsia="ru-RU"/>
              </w:rPr>
              <w:t>Том 2.</w:t>
            </w:r>
            <w:r>
              <w:rPr>
                <w:bCs/>
                <w:sz w:val="24"/>
                <w:szCs w:val="24"/>
                <w:highlight w:val="none"/>
                <w:lang w:val="zh-CN" w:eastAsia="ru-RU"/>
              </w:rPr>
              <w:t xml:space="preserve"> Материалы по обоснованию проекта планировки</w:t>
            </w:r>
            <w:r>
              <w:rPr>
                <w:bCs/>
                <w:sz w:val="24"/>
                <w:szCs w:val="24"/>
                <w:highlight w:val="none"/>
                <w:lang w:eastAsia="ru-RU"/>
              </w:rPr>
              <w:t xml:space="preserve"> территории</w:t>
            </w:r>
          </w:p>
        </w:tc>
      </w:tr>
      <w:tr>
        <w:tblPrEx>
          <w:tblCellMar>
            <w:top w:w="0" w:type="dxa"/>
            <w:left w:w="108" w:type="dxa"/>
            <w:bottom w:w="0" w:type="dxa"/>
            <w:right w:w="108" w:type="dxa"/>
          </w:tblCellMar>
        </w:tblPrEx>
        <w:trPr>
          <w:trHeight w:val="635" w:hRule="atLeast"/>
        </w:trPr>
        <w:tc>
          <w:tcPr>
            <w:tcW w:w="1439" w:type="pct"/>
            <w:vAlign w:val="center"/>
          </w:tcPr>
          <w:p>
            <w:pPr>
              <w:shd w:val="clear"/>
              <w:spacing w:line="276" w:lineRule="auto"/>
              <w:ind w:firstLine="0"/>
              <w:jc w:val="left"/>
              <w:rPr>
                <w:bCs/>
                <w:sz w:val="24"/>
                <w:szCs w:val="24"/>
                <w:highlight w:val="none"/>
                <w:lang w:eastAsia="ru-RU"/>
              </w:rPr>
            </w:pPr>
            <w:r>
              <w:rPr>
                <w:bCs/>
                <w:sz w:val="24"/>
                <w:szCs w:val="24"/>
                <w:highlight w:val="none"/>
                <w:lang w:eastAsia="ru-RU"/>
              </w:rPr>
              <w:t>К-15</w:t>
            </w:r>
            <w:r>
              <w:rPr>
                <w:rFonts w:hint="default"/>
                <w:bCs/>
                <w:sz w:val="24"/>
                <w:szCs w:val="24"/>
                <w:highlight w:val="none"/>
                <w:lang w:val="en-US" w:eastAsia="ru-RU"/>
              </w:rPr>
              <w:t>4</w:t>
            </w:r>
            <w:r>
              <w:rPr>
                <w:bCs/>
                <w:sz w:val="24"/>
                <w:szCs w:val="24"/>
                <w:highlight w:val="none"/>
                <w:lang w:eastAsia="ru-RU"/>
              </w:rPr>
              <w:t>/2022</w:t>
            </w:r>
            <w:r>
              <w:rPr>
                <w:bCs/>
                <w:sz w:val="24"/>
                <w:szCs w:val="24"/>
                <w:highlight w:val="none"/>
                <w:lang w:val="zh-CN" w:eastAsia="ru-RU"/>
              </w:rPr>
              <w:t>–ПМТ-О</w:t>
            </w:r>
            <w:r>
              <w:rPr>
                <w:bCs/>
                <w:sz w:val="24"/>
                <w:szCs w:val="24"/>
                <w:highlight w:val="none"/>
                <w:lang w:eastAsia="ru-RU"/>
              </w:rPr>
              <w:t>Ч</w:t>
            </w:r>
          </w:p>
        </w:tc>
        <w:tc>
          <w:tcPr>
            <w:tcW w:w="3561" w:type="pct"/>
            <w:vAlign w:val="center"/>
          </w:tcPr>
          <w:p>
            <w:pPr>
              <w:shd w:val="clear"/>
              <w:spacing w:line="276" w:lineRule="auto"/>
              <w:ind w:right="340" w:firstLine="0"/>
              <w:contextualSpacing/>
              <w:rPr>
                <w:bCs/>
                <w:sz w:val="24"/>
                <w:szCs w:val="24"/>
                <w:highlight w:val="none"/>
                <w:lang w:eastAsia="ru-RU"/>
              </w:rPr>
            </w:pPr>
            <w:r>
              <w:rPr>
                <w:b/>
                <w:sz w:val="24"/>
                <w:szCs w:val="24"/>
                <w:highlight w:val="none"/>
                <w:lang w:eastAsia="ru-RU"/>
              </w:rPr>
              <w:t>Том 3.</w:t>
            </w:r>
            <w:r>
              <w:rPr>
                <w:sz w:val="24"/>
                <w:szCs w:val="24"/>
                <w:highlight w:val="none"/>
                <w:lang w:eastAsia="ru-RU"/>
              </w:rPr>
              <w:t xml:space="preserve">  Основная часть проекта межевания территории</w:t>
            </w:r>
          </w:p>
        </w:tc>
      </w:tr>
      <w:tr>
        <w:tblPrEx>
          <w:tblCellMar>
            <w:top w:w="0" w:type="dxa"/>
            <w:left w:w="108" w:type="dxa"/>
            <w:bottom w:w="0" w:type="dxa"/>
            <w:right w:w="108" w:type="dxa"/>
          </w:tblCellMar>
        </w:tblPrEx>
        <w:trPr>
          <w:trHeight w:val="635" w:hRule="atLeast"/>
        </w:trPr>
        <w:tc>
          <w:tcPr>
            <w:tcW w:w="1439" w:type="pct"/>
            <w:vAlign w:val="center"/>
          </w:tcPr>
          <w:p>
            <w:pPr>
              <w:shd w:val="clear"/>
              <w:spacing w:line="276" w:lineRule="auto"/>
              <w:ind w:firstLine="0"/>
              <w:jc w:val="left"/>
              <w:rPr>
                <w:bCs/>
                <w:sz w:val="24"/>
                <w:szCs w:val="24"/>
                <w:highlight w:val="none"/>
                <w:lang w:eastAsia="ru-RU"/>
              </w:rPr>
            </w:pPr>
            <w:r>
              <w:rPr>
                <w:bCs/>
                <w:sz w:val="24"/>
                <w:szCs w:val="24"/>
                <w:highlight w:val="none"/>
                <w:lang w:eastAsia="ru-RU"/>
              </w:rPr>
              <w:t>К-15</w:t>
            </w:r>
            <w:r>
              <w:rPr>
                <w:rFonts w:hint="default"/>
                <w:bCs/>
                <w:sz w:val="24"/>
                <w:szCs w:val="24"/>
                <w:highlight w:val="none"/>
                <w:lang w:val="en-US" w:eastAsia="ru-RU"/>
              </w:rPr>
              <w:t>4</w:t>
            </w:r>
            <w:r>
              <w:rPr>
                <w:bCs/>
                <w:sz w:val="24"/>
                <w:szCs w:val="24"/>
                <w:highlight w:val="none"/>
                <w:lang w:eastAsia="ru-RU"/>
              </w:rPr>
              <w:t>/2022</w:t>
            </w:r>
            <w:r>
              <w:rPr>
                <w:bCs/>
                <w:sz w:val="24"/>
                <w:szCs w:val="24"/>
                <w:highlight w:val="none"/>
                <w:lang w:val="zh-CN" w:eastAsia="ru-RU"/>
              </w:rPr>
              <w:t>-ПМТ-</w:t>
            </w:r>
            <w:r>
              <w:rPr>
                <w:bCs/>
                <w:sz w:val="24"/>
                <w:szCs w:val="24"/>
                <w:highlight w:val="none"/>
                <w:lang w:eastAsia="ru-RU"/>
              </w:rPr>
              <w:t>МО</w:t>
            </w:r>
          </w:p>
        </w:tc>
        <w:tc>
          <w:tcPr>
            <w:tcW w:w="3561" w:type="pct"/>
            <w:vAlign w:val="center"/>
          </w:tcPr>
          <w:p>
            <w:pPr>
              <w:shd w:val="clear"/>
              <w:spacing w:line="276" w:lineRule="auto"/>
              <w:ind w:firstLine="0"/>
              <w:rPr>
                <w:bCs/>
                <w:sz w:val="24"/>
                <w:szCs w:val="24"/>
                <w:highlight w:val="none"/>
                <w:lang w:eastAsia="ru-RU"/>
              </w:rPr>
            </w:pPr>
            <w:r>
              <w:rPr>
                <w:b/>
                <w:sz w:val="24"/>
                <w:szCs w:val="24"/>
                <w:highlight w:val="none"/>
                <w:lang w:eastAsia="ru-RU"/>
              </w:rPr>
              <w:t>Том 4.</w:t>
            </w:r>
            <w:r>
              <w:rPr>
                <w:bCs/>
                <w:sz w:val="24"/>
                <w:szCs w:val="24"/>
                <w:highlight w:val="none"/>
                <w:lang w:eastAsia="ru-RU"/>
              </w:rPr>
              <w:t xml:space="preserve">  Материалы по обоснованию проекта межевания территории</w:t>
            </w:r>
          </w:p>
        </w:tc>
      </w:tr>
    </w:tbl>
    <w:p>
      <w:pPr>
        <w:shd w:val="clear"/>
        <w:spacing w:line="276" w:lineRule="auto"/>
        <w:ind w:firstLine="0"/>
        <w:rPr>
          <w:rFonts w:eastAsia="Calibri"/>
          <w:sz w:val="24"/>
          <w:szCs w:val="24"/>
          <w:highlight w:val="none"/>
        </w:rPr>
        <w:sectPr>
          <w:pgSz w:w="11906" w:h="16838"/>
          <w:pgMar w:top="1134" w:right="850" w:bottom="1134" w:left="1701" w:header="708" w:footer="708" w:gutter="0"/>
          <w:cols w:space="708" w:num="1"/>
          <w:docGrid w:linePitch="360" w:charSpace="0"/>
        </w:sectPr>
      </w:pPr>
    </w:p>
    <w:p>
      <w:pPr>
        <w:shd w:val="clear"/>
        <w:spacing w:line="276" w:lineRule="auto"/>
        <w:ind w:firstLine="0"/>
        <w:rPr>
          <w:rFonts w:eastAsia="Calibri"/>
          <w:sz w:val="24"/>
          <w:szCs w:val="24"/>
          <w:highlight w:val="none"/>
        </w:rPr>
      </w:pPr>
      <w:r>
        <w:rPr>
          <w:rFonts w:eastAsia="Calibri"/>
          <w:sz w:val="24"/>
          <w:szCs w:val="24"/>
          <w:highlight w:val="none"/>
        </w:rPr>
        <w:t>СОДЕРЖАНИЕ ТОМА</w:t>
      </w:r>
    </w:p>
    <w:sdt>
      <w:sdtPr>
        <w:rPr>
          <w:rFonts w:ascii="Times New Roman" w:hAnsi="Times New Roman" w:eastAsia="Times New Roman" w:cs="Times New Roman"/>
          <w:sz w:val="28"/>
          <w:highlight w:val="none"/>
        </w:rPr>
        <w:id w:val="1830563701"/>
        <w:docPartObj>
          <w:docPartGallery w:val="Table of Contents"/>
          <w:docPartUnique/>
        </w:docPartObj>
      </w:sdtPr>
      <w:sdtEndPr>
        <w:rPr>
          <w:rFonts w:ascii="Times New Roman" w:hAnsi="Times New Roman" w:eastAsia="Times New Roman" w:cs="Times New Roman"/>
          <w:b/>
          <w:bCs/>
          <w:sz w:val="28"/>
          <w:highlight w:val="none"/>
        </w:rPr>
      </w:sdtEndPr>
      <w:sdtContent>
        <w:p>
          <w:pPr>
            <w:pStyle w:val="15"/>
            <w:shd w:val="clear"/>
            <w:tabs>
              <w:tab w:val="right" w:leader="dot" w:pos="9345"/>
            </w:tabs>
            <w:spacing w:line="276" w:lineRule="auto"/>
            <w:jc w:val="both"/>
            <w:rPr>
              <w:rFonts w:ascii="Times New Roman" w:hAnsi="Times New Roman" w:cs="Times New Roman" w:eastAsiaTheme="minorEastAsia"/>
              <w:highlight w:val="none"/>
              <w:lang w:eastAsia="ru-RU"/>
            </w:rPr>
          </w:pPr>
          <w:r>
            <w:rPr>
              <w:rFonts w:ascii="Times New Roman" w:hAnsi="Times New Roman" w:cs="Times New Roman"/>
              <w:sz w:val="24"/>
              <w:szCs w:val="24"/>
              <w:highlight w:val="none"/>
            </w:rPr>
            <w:fldChar w:fldCharType="begin"/>
          </w:r>
          <w:r>
            <w:rPr>
              <w:rFonts w:ascii="Times New Roman" w:hAnsi="Times New Roman" w:cs="Times New Roman"/>
              <w:sz w:val="24"/>
              <w:szCs w:val="24"/>
              <w:highlight w:val="none"/>
            </w:rPr>
            <w:instrText xml:space="preserve"> TOC \o "1-3" \h \z \u </w:instrText>
          </w:r>
          <w:r>
            <w:rPr>
              <w:rFonts w:ascii="Times New Roman" w:hAnsi="Times New Roman" w:cs="Times New Roman"/>
              <w:sz w:val="24"/>
              <w:szCs w:val="24"/>
              <w:highlight w:val="none"/>
            </w:rPr>
            <w:fldChar w:fldCharType="separate"/>
          </w:r>
          <w:r>
            <w:rPr>
              <w:highlight w:val="none"/>
            </w:rPr>
            <w:fldChar w:fldCharType="begin"/>
          </w:r>
          <w:r>
            <w:rPr>
              <w:highlight w:val="none"/>
            </w:rPr>
            <w:instrText xml:space="preserve"> HYPERLINK \l "_Toc141885065" </w:instrText>
          </w:r>
          <w:r>
            <w:rPr>
              <w:highlight w:val="none"/>
            </w:rPr>
            <w:fldChar w:fldCharType="separate"/>
          </w:r>
          <w:r>
            <w:rPr>
              <w:rStyle w:val="9"/>
              <w:rFonts w:ascii="Times New Roman" w:hAnsi="Times New Roman" w:eastAsia="Calibri" w:cs="Times New Roman"/>
              <w:highlight w:val="none"/>
            </w:rPr>
            <w:t>1.Графическая часть</w:t>
          </w:r>
          <w:r>
            <w:rPr>
              <w:rFonts w:ascii="Times New Roman" w:hAnsi="Times New Roman" w:cs="Times New Roman"/>
              <w:highlight w:val="none"/>
            </w:rPr>
            <w:tab/>
          </w:r>
          <w:r>
            <w:rPr>
              <w:rFonts w:ascii="Times New Roman" w:hAnsi="Times New Roman" w:cs="Times New Roman"/>
              <w:highlight w:val="none"/>
            </w:rPr>
            <w:fldChar w:fldCharType="begin"/>
          </w:r>
          <w:r>
            <w:rPr>
              <w:rFonts w:ascii="Times New Roman" w:hAnsi="Times New Roman" w:cs="Times New Roman"/>
              <w:highlight w:val="none"/>
            </w:rPr>
            <w:instrText xml:space="preserve"> PAGEREF _Toc141885065 \h </w:instrText>
          </w:r>
          <w:r>
            <w:rPr>
              <w:rFonts w:ascii="Times New Roman" w:hAnsi="Times New Roman" w:cs="Times New Roman"/>
              <w:highlight w:val="none"/>
            </w:rPr>
            <w:fldChar w:fldCharType="separate"/>
          </w:r>
          <w:r>
            <w:rPr>
              <w:rFonts w:ascii="Times New Roman" w:hAnsi="Times New Roman" w:cs="Times New Roman"/>
              <w:highlight w:val="none"/>
            </w:rPr>
            <w:t>5</w:t>
          </w:r>
          <w:r>
            <w:rPr>
              <w:rFonts w:ascii="Times New Roman" w:hAnsi="Times New Roman" w:cs="Times New Roman"/>
              <w:highlight w:val="none"/>
            </w:rPr>
            <w:fldChar w:fldCharType="end"/>
          </w:r>
          <w:r>
            <w:rPr>
              <w:rFonts w:ascii="Times New Roman" w:hAnsi="Times New Roman" w:cs="Times New Roman"/>
              <w:highlight w:val="none"/>
            </w:rPr>
            <w:fldChar w:fldCharType="end"/>
          </w:r>
        </w:p>
        <w:p>
          <w:pPr>
            <w:pStyle w:val="15"/>
            <w:shd w:val="clear"/>
            <w:tabs>
              <w:tab w:val="right" w:leader="dot" w:pos="9345"/>
            </w:tabs>
            <w:spacing w:line="276" w:lineRule="auto"/>
            <w:jc w:val="both"/>
            <w:rPr>
              <w:rFonts w:ascii="Times New Roman" w:hAnsi="Times New Roman" w:cs="Times New Roman" w:eastAsiaTheme="minorEastAsia"/>
              <w:highlight w:val="none"/>
              <w:lang w:eastAsia="ru-RU"/>
            </w:rPr>
          </w:pPr>
          <w:r>
            <w:rPr>
              <w:highlight w:val="none"/>
            </w:rPr>
            <w:fldChar w:fldCharType="begin"/>
          </w:r>
          <w:r>
            <w:rPr>
              <w:highlight w:val="none"/>
            </w:rPr>
            <w:instrText xml:space="preserve"> HYPERLINK \l "_Toc141885066" </w:instrText>
          </w:r>
          <w:r>
            <w:rPr>
              <w:highlight w:val="none"/>
            </w:rPr>
            <w:fldChar w:fldCharType="separate"/>
          </w:r>
          <w:r>
            <w:rPr>
              <w:rStyle w:val="9"/>
              <w:rFonts w:ascii="Times New Roman" w:hAnsi="Times New Roman" w:eastAsia="Calibri" w:cs="Times New Roman"/>
              <w:highlight w:val="none"/>
            </w:rPr>
            <w:t xml:space="preserve">2. </w:t>
          </w:r>
          <w:r>
            <w:rPr>
              <w:rStyle w:val="9"/>
              <w:rFonts w:ascii="Times New Roman" w:hAnsi="Times New Roman" w:cs="Times New Roman"/>
              <w:highlight w:val="none"/>
            </w:rPr>
            <w:t>ОБЩАЯ ХАРАКТЕРИСТИКА ТЕРРИТОРИИ</w:t>
          </w:r>
          <w:r>
            <w:rPr>
              <w:rFonts w:ascii="Times New Roman" w:hAnsi="Times New Roman" w:cs="Times New Roman"/>
              <w:highlight w:val="none"/>
            </w:rPr>
            <w:tab/>
          </w:r>
          <w:r>
            <w:rPr>
              <w:rFonts w:ascii="Times New Roman" w:hAnsi="Times New Roman" w:cs="Times New Roman"/>
              <w:highlight w:val="none"/>
            </w:rPr>
            <w:fldChar w:fldCharType="begin"/>
          </w:r>
          <w:r>
            <w:rPr>
              <w:rFonts w:ascii="Times New Roman" w:hAnsi="Times New Roman" w:cs="Times New Roman"/>
              <w:highlight w:val="none"/>
            </w:rPr>
            <w:instrText xml:space="preserve"> PAGEREF _Toc141885066 \h </w:instrText>
          </w:r>
          <w:r>
            <w:rPr>
              <w:rFonts w:ascii="Times New Roman" w:hAnsi="Times New Roman" w:cs="Times New Roman"/>
              <w:highlight w:val="none"/>
            </w:rPr>
            <w:fldChar w:fldCharType="separate"/>
          </w:r>
          <w:r>
            <w:rPr>
              <w:rFonts w:ascii="Times New Roman" w:hAnsi="Times New Roman" w:cs="Times New Roman"/>
              <w:highlight w:val="none"/>
            </w:rPr>
            <w:t>6</w:t>
          </w:r>
          <w:r>
            <w:rPr>
              <w:rFonts w:ascii="Times New Roman" w:hAnsi="Times New Roman" w:cs="Times New Roman"/>
              <w:highlight w:val="none"/>
            </w:rPr>
            <w:fldChar w:fldCharType="end"/>
          </w:r>
          <w:r>
            <w:rPr>
              <w:rFonts w:ascii="Times New Roman" w:hAnsi="Times New Roman" w:cs="Times New Roman"/>
              <w:highlight w:val="none"/>
            </w:rPr>
            <w:fldChar w:fldCharType="end"/>
          </w:r>
        </w:p>
        <w:p>
          <w:pPr>
            <w:pStyle w:val="15"/>
            <w:shd w:val="clear"/>
            <w:tabs>
              <w:tab w:val="right" w:leader="dot" w:pos="9345"/>
            </w:tabs>
            <w:spacing w:line="276" w:lineRule="auto"/>
            <w:jc w:val="both"/>
            <w:rPr>
              <w:rFonts w:ascii="Times New Roman" w:hAnsi="Times New Roman" w:cs="Times New Roman" w:eastAsiaTheme="minorEastAsia"/>
              <w:highlight w:val="none"/>
              <w:lang w:eastAsia="ru-RU"/>
            </w:rPr>
          </w:pPr>
          <w:r>
            <w:rPr>
              <w:highlight w:val="none"/>
            </w:rPr>
            <w:fldChar w:fldCharType="begin"/>
          </w:r>
          <w:r>
            <w:rPr>
              <w:highlight w:val="none"/>
            </w:rPr>
            <w:instrText xml:space="preserve"> HYPERLINK \l "_Toc141885067" </w:instrText>
          </w:r>
          <w:r>
            <w:rPr>
              <w:highlight w:val="none"/>
            </w:rPr>
            <w:fldChar w:fldCharType="separate"/>
          </w:r>
          <w:r>
            <w:rPr>
              <w:rStyle w:val="9"/>
              <w:rFonts w:ascii="Times New Roman" w:hAnsi="Times New Roman" w:cs="Times New Roman"/>
              <w:highlight w:val="none"/>
            </w:rPr>
            <w:t>2.1 Сведения о природно-климатических условиях</w:t>
          </w:r>
          <w:r>
            <w:rPr>
              <w:rFonts w:ascii="Times New Roman" w:hAnsi="Times New Roman" w:cs="Times New Roman"/>
              <w:highlight w:val="none"/>
            </w:rPr>
            <w:tab/>
          </w:r>
          <w:r>
            <w:rPr>
              <w:rFonts w:ascii="Times New Roman" w:hAnsi="Times New Roman" w:cs="Times New Roman"/>
              <w:highlight w:val="none"/>
            </w:rPr>
            <w:fldChar w:fldCharType="begin"/>
          </w:r>
          <w:r>
            <w:rPr>
              <w:rFonts w:ascii="Times New Roman" w:hAnsi="Times New Roman" w:cs="Times New Roman"/>
              <w:highlight w:val="none"/>
            </w:rPr>
            <w:instrText xml:space="preserve"> PAGEREF _Toc141885067 \h </w:instrText>
          </w:r>
          <w:r>
            <w:rPr>
              <w:rFonts w:ascii="Times New Roman" w:hAnsi="Times New Roman" w:cs="Times New Roman"/>
              <w:highlight w:val="none"/>
            </w:rPr>
            <w:fldChar w:fldCharType="separate"/>
          </w:r>
          <w:r>
            <w:rPr>
              <w:rFonts w:ascii="Times New Roman" w:hAnsi="Times New Roman" w:cs="Times New Roman"/>
              <w:highlight w:val="none"/>
            </w:rPr>
            <w:t>6</w:t>
          </w:r>
          <w:r>
            <w:rPr>
              <w:rFonts w:ascii="Times New Roman" w:hAnsi="Times New Roman" w:cs="Times New Roman"/>
              <w:highlight w:val="none"/>
            </w:rPr>
            <w:fldChar w:fldCharType="end"/>
          </w:r>
          <w:r>
            <w:rPr>
              <w:rFonts w:ascii="Times New Roman" w:hAnsi="Times New Roman" w:cs="Times New Roman"/>
              <w:highlight w:val="none"/>
            </w:rPr>
            <w:fldChar w:fldCharType="end"/>
          </w:r>
        </w:p>
        <w:p>
          <w:pPr>
            <w:pStyle w:val="15"/>
            <w:shd w:val="clear"/>
            <w:tabs>
              <w:tab w:val="right" w:leader="dot" w:pos="9345"/>
            </w:tabs>
            <w:spacing w:line="276" w:lineRule="auto"/>
            <w:jc w:val="both"/>
            <w:rPr>
              <w:rFonts w:ascii="Times New Roman" w:hAnsi="Times New Roman" w:cs="Times New Roman" w:eastAsiaTheme="minorEastAsia"/>
              <w:highlight w:val="none"/>
              <w:lang w:eastAsia="ru-RU"/>
            </w:rPr>
          </w:pPr>
          <w:r>
            <w:rPr>
              <w:highlight w:val="none"/>
            </w:rPr>
            <w:fldChar w:fldCharType="begin"/>
          </w:r>
          <w:r>
            <w:rPr>
              <w:highlight w:val="none"/>
            </w:rPr>
            <w:instrText xml:space="preserve"> HYPERLINK \l "_Toc141885068" </w:instrText>
          </w:r>
          <w:r>
            <w:rPr>
              <w:highlight w:val="none"/>
            </w:rPr>
            <w:fldChar w:fldCharType="separate"/>
          </w:r>
          <w:r>
            <w:rPr>
              <w:rStyle w:val="9"/>
              <w:rFonts w:ascii="Times New Roman" w:hAnsi="Times New Roman" w:cs="Times New Roman"/>
              <w:highlight w:val="none"/>
            </w:rPr>
            <w:t>2.1.1 Климатические характеристики</w:t>
          </w:r>
          <w:r>
            <w:rPr>
              <w:rFonts w:ascii="Times New Roman" w:hAnsi="Times New Roman" w:cs="Times New Roman"/>
              <w:highlight w:val="none"/>
            </w:rPr>
            <w:tab/>
          </w:r>
          <w:r>
            <w:rPr>
              <w:rFonts w:ascii="Times New Roman" w:hAnsi="Times New Roman" w:cs="Times New Roman"/>
              <w:highlight w:val="none"/>
            </w:rPr>
            <w:fldChar w:fldCharType="begin"/>
          </w:r>
          <w:r>
            <w:rPr>
              <w:rFonts w:ascii="Times New Roman" w:hAnsi="Times New Roman" w:cs="Times New Roman"/>
              <w:highlight w:val="none"/>
            </w:rPr>
            <w:instrText xml:space="preserve"> PAGEREF _Toc141885068 \h </w:instrText>
          </w:r>
          <w:r>
            <w:rPr>
              <w:rFonts w:ascii="Times New Roman" w:hAnsi="Times New Roman" w:cs="Times New Roman"/>
              <w:highlight w:val="none"/>
            </w:rPr>
            <w:fldChar w:fldCharType="separate"/>
          </w:r>
          <w:r>
            <w:rPr>
              <w:rFonts w:ascii="Times New Roman" w:hAnsi="Times New Roman" w:cs="Times New Roman"/>
              <w:highlight w:val="none"/>
            </w:rPr>
            <w:t>6</w:t>
          </w:r>
          <w:r>
            <w:rPr>
              <w:rFonts w:ascii="Times New Roman" w:hAnsi="Times New Roman" w:cs="Times New Roman"/>
              <w:highlight w:val="none"/>
            </w:rPr>
            <w:fldChar w:fldCharType="end"/>
          </w:r>
          <w:r>
            <w:rPr>
              <w:rFonts w:ascii="Times New Roman" w:hAnsi="Times New Roman" w:cs="Times New Roman"/>
              <w:highlight w:val="none"/>
            </w:rPr>
            <w:fldChar w:fldCharType="end"/>
          </w:r>
        </w:p>
        <w:p>
          <w:pPr>
            <w:pStyle w:val="15"/>
            <w:shd w:val="clear"/>
            <w:tabs>
              <w:tab w:val="right" w:leader="dot" w:pos="9345"/>
            </w:tabs>
            <w:spacing w:line="276" w:lineRule="auto"/>
            <w:jc w:val="both"/>
            <w:rPr>
              <w:rFonts w:ascii="Times New Roman" w:hAnsi="Times New Roman" w:cs="Times New Roman" w:eastAsiaTheme="minorEastAsia"/>
              <w:highlight w:val="none"/>
              <w:lang w:eastAsia="ru-RU"/>
            </w:rPr>
          </w:pPr>
          <w:r>
            <w:rPr>
              <w:highlight w:val="none"/>
            </w:rPr>
            <w:fldChar w:fldCharType="begin"/>
          </w:r>
          <w:r>
            <w:rPr>
              <w:highlight w:val="none"/>
            </w:rPr>
            <w:instrText xml:space="preserve"> HYPERLINK \l "_Toc141885069" </w:instrText>
          </w:r>
          <w:r>
            <w:rPr>
              <w:highlight w:val="none"/>
            </w:rPr>
            <w:fldChar w:fldCharType="separate"/>
          </w:r>
          <w:r>
            <w:rPr>
              <w:rStyle w:val="9"/>
              <w:rFonts w:ascii="Times New Roman" w:hAnsi="Times New Roman" w:cs="Times New Roman"/>
              <w:highlight w:val="none"/>
            </w:rPr>
            <w:t>2.1.2 Геоморфологические условия и рельеф</w:t>
          </w:r>
          <w:r>
            <w:rPr>
              <w:rFonts w:ascii="Times New Roman" w:hAnsi="Times New Roman" w:cs="Times New Roman"/>
              <w:highlight w:val="none"/>
            </w:rPr>
            <w:tab/>
          </w:r>
          <w:r>
            <w:rPr>
              <w:rFonts w:ascii="Times New Roman" w:hAnsi="Times New Roman" w:cs="Times New Roman"/>
              <w:highlight w:val="none"/>
            </w:rPr>
            <w:fldChar w:fldCharType="begin"/>
          </w:r>
          <w:r>
            <w:rPr>
              <w:rFonts w:ascii="Times New Roman" w:hAnsi="Times New Roman" w:cs="Times New Roman"/>
              <w:highlight w:val="none"/>
            </w:rPr>
            <w:instrText xml:space="preserve"> PAGEREF _Toc141885069 \h </w:instrText>
          </w:r>
          <w:r>
            <w:rPr>
              <w:rFonts w:ascii="Times New Roman" w:hAnsi="Times New Roman" w:cs="Times New Roman"/>
              <w:highlight w:val="none"/>
            </w:rPr>
            <w:fldChar w:fldCharType="separate"/>
          </w:r>
          <w:r>
            <w:rPr>
              <w:rFonts w:ascii="Times New Roman" w:hAnsi="Times New Roman" w:cs="Times New Roman"/>
              <w:highlight w:val="none"/>
            </w:rPr>
            <w:t>6</w:t>
          </w:r>
          <w:r>
            <w:rPr>
              <w:rFonts w:ascii="Times New Roman" w:hAnsi="Times New Roman" w:cs="Times New Roman"/>
              <w:highlight w:val="none"/>
            </w:rPr>
            <w:fldChar w:fldCharType="end"/>
          </w:r>
          <w:r>
            <w:rPr>
              <w:rFonts w:ascii="Times New Roman" w:hAnsi="Times New Roman" w:cs="Times New Roman"/>
              <w:highlight w:val="none"/>
            </w:rPr>
            <w:fldChar w:fldCharType="end"/>
          </w:r>
        </w:p>
        <w:p>
          <w:pPr>
            <w:pStyle w:val="15"/>
            <w:shd w:val="clear"/>
            <w:tabs>
              <w:tab w:val="right" w:leader="dot" w:pos="9345"/>
            </w:tabs>
            <w:spacing w:line="276" w:lineRule="auto"/>
            <w:jc w:val="both"/>
            <w:rPr>
              <w:rFonts w:ascii="Times New Roman" w:hAnsi="Times New Roman" w:cs="Times New Roman" w:eastAsiaTheme="minorEastAsia"/>
              <w:highlight w:val="none"/>
              <w:lang w:eastAsia="ru-RU"/>
            </w:rPr>
          </w:pPr>
          <w:r>
            <w:rPr>
              <w:highlight w:val="none"/>
            </w:rPr>
            <w:fldChar w:fldCharType="begin"/>
          </w:r>
          <w:r>
            <w:rPr>
              <w:highlight w:val="none"/>
            </w:rPr>
            <w:instrText xml:space="preserve"> HYPERLINK \l "_Toc141885070" </w:instrText>
          </w:r>
          <w:r>
            <w:rPr>
              <w:highlight w:val="none"/>
            </w:rPr>
            <w:fldChar w:fldCharType="separate"/>
          </w:r>
          <w:r>
            <w:rPr>
              <w:rStyle w:val="9"/>
              <w:rFonts w:ascii="Times New Roman" w:hAnsi="Times New Roman" w:cs="Times New Roman"/>
              <w:highlight w:val="none"/>
            </w:rPr>
            <w:t>2.1.3 Геологические условия</w:t>
          </w:r>
          <w:r>
            <w:rPr>
              <w:rFonts w:ascii="Times New Roman" w:hAnsi="Times New Roman" w:cs="Times New Roman"/>
              <w:highlight w:val="none"/>
            </w:rPr>
            <w:tab/>
          </w:r>
          <w:r>
            <w:rPr>
              <w:rFonts w:ascii="Times New Roman" w:hAnsi="Times New Roman" w:cs="Times New Roman"/>
              <w:highlight w:val="none"/>
            </w:rPr>
            <w:fldChar w:fldCharType="begin"/>
          </w:r>
          <w:r>
            <w:rPr>
              <w:rFonts w:ascii="Times New Roman" w:hAnsi="Times New Roman" w:cs="Times New Roman"/>
              <w:highlight w:val="none"/>
            </w:rPr>
            <w:instrText xml:space="preserve"> PAGEREF _Toc141885070 \h </w:instrText>
          </w:r>
          <w:r>
            <w:rPr>
              <w:rFonts w:ascii="Times New Roman" w:hAnsi="Times New Roman" w:cs="Times New Roman"/>
              <w:highlight w:val="none"/>
            </w:rPr>
            <w:fldChar w:fldCharType="separate"/>
          </w:r>
          <w:r>
            <w:rPr>
              <w:rFonts w:ascii="Times New Roman" w:hAnsi="Times New Roman" w:cs="Times New Roman"/>
              <w:highlight w:val="none"/>
            </w:rPr>
            <w:t>8</w:t>
          </w:r>
          <w:r>
            <w:rPr>
              <w:rFonts w:ascii="Times New Roman" w:hAnsi="Times New Roman" w:cs="Times New Roman"/>
              <w:highlight w:val="none"/>
            </w:rPr>
            <w:fldChar w:fldCharType="end"/>
          </w:r>
          <w:r>
            <w:rPr>
              <w:rFonts w:ascii="Times New Roman" w:hAnsi="Times New Roman" w:cs="Times New Roman"/>
              <w:highlight w:val="none"/>
            </w:rPr>
            <w:fldChar w:fldCharType="end"/>
          </w:r>
        </w:p>
        <w:p>
          <w:pPr>
            <w:pStyle w:val="15"/>
            <w:shd w:val="clear"/>
            <w:tabs>
              <w:tab w:val="right" w:leader="dot" w:pos="9345"/>
            </w:tabs>
            <w:spacing w:line="276" w:lineRule="auto"/>
            <w:jc w:val="both"/>
            <w:rPr>
              <w:rFonts w:ascii="Times New Roman" w:hAnsi="Times New Roman" w:cs="Times New Roman" w:eastAsiaTheme="minorEastAsia"/>
              <w:highlight w:val="none"/>
              <w:lang w:eastAsia="ru-RU"/>
            </w:rPr>
          </w:pPr>
          <w:r>
            <w:rPr>
              <w:highlight w:val="none"/>
            </w:rPr>
            <w:fldChar w:fldCharType="begin"/>
          </w:r>
          <w:r>
            <w:rPr>
              <w:highlight w:val="none"/>
            </w:rPr>
            <w:instrText xml:space="preserve"> HYPERLINK \l "_Toc141885071" </w:instrText>
          </w:r>
          <w:r>
            <w:rPr>
              <w:highlight w:val="none"/>
            </w:rPr>
            <w:fldChar w:fldCharType="separate"/>
          </w:r>
          <w:r>
            <w:rPr>
              <w:rStyle w:val="9"/>
              <w:rFonts w:ascii="Times New Roman" w:hAnsi="Times New Roman" w:cs="Times New Roman"/>
              <w:highlight w:val="none"/>
            </w:rPr>
            <w:t>2.1.4 Гидрологическая характеристика</w:t>
          </w:r>
          <w:r>
            <w:rPr>
              <w:rFonts w:ascii="Times New Roman" w:hAnsi="Times New Roman" w:cs="Times New Roman"/>
              <w:highlight w:val="none"/>
            </w:rPr>
            <w:tab/>
          </w:r>
          <w:r>
            <w:rPr>
              <w:rFonts w:ascii="Times New Roman" w:hAnsi="Times New Roman" w:cs="Times New Roman"/>
              <w:highlight w:val="none"/>
            </w:rPr>
            <w:fldChar w:fldCharType="begin"/>
          </w:r>
          <w:r>
            <w:rPr>
              <w:rFonts w:ascii="Times New Roman" w:hAnsi="Times New Roman" w:cs="Times New Roman"/>
              <w:highlight w:val="none"/>
            </w:rPr>
            <w:instrText xml:space="preserve"> PAGEREF _Toc141885071 \h </w:instrText>
          </w:r>
          <w:r>
            <w:rPr>
              <w:rFonts w:ascii="Times New Roman" w:hAnsi="Times New Roman" w:cs="Times New Roman"/>
              <w:highlight w:val="none"/>
            </w:rPr>
            <w:fldChar w:fldCharType="separate"/>
          </w:r>
          <w:r>
            <w:rPr>
              <w:rFonts w:ascii="Times New Roman" w:hAnsi="Times New Roman" w:cs="Times New Roman"/>
              <w:highlight w:val="none"/>
            </w:rPr>
            <w:t>8</w:t>
          </w:r>
          <w:r>
            <w:rPr>
              <w:rFonts w:ascii="Times New Roman" w:hAnsi="Times New Roman" w:cs="Times New Roman"/>
              <w:highlight w:val="none"/>
            </w:rPr>
            <w:fldChar w:fldCharType="end"/>
          </w:r>
          <w:r>
            <w:rPr>
              <w:rFonts w:ascii="Times New Roman" w:hAnsi="Times New Roman" w:cs="Times New Roman"/>
              <w:highlight w:val="none"/>
            </w:rPr>
            <w:fldChar w:fldCharType="end"/>
          </w:r>
        </w:p>
        <w:p>
          <w:pPr>
            <w:pStyle w:val="15"/>
            <w:shd w:val="clear"/>
            <w:tabs>
              <w:tab w:val="right" w:leader="dot" w:pos="9345"/>
            </w:tabs>
            <w:spacing w:line="276" w:lineRule="auto"/>
            <w:jc w:val="both"/>
            <w:rPr>
              <w:rFonts w:ascii="Times New Roman" w:hAnsi="Times New Roman" w:cs="Times New Roman" w:eastAsiaTheme="minorEastAsia"/>
              <w:highlight w:val="none"/>
              <w:lang w:eastAsia="ru-RU"/>
            </w:rPr>
          </w:pPr>
          <w:r>
            <w:rPr>
              <w:highlight w:val="none"/>
            </w:rPr>
            <w:fldChar w:fldCharType="begin"/>
          </w:r>
          <w:r>
            <w:rPr>
              <w:highlight w:val="none"/>
            </w:rPr>
            <w:instrText xml:space="preserve"> HYPERLINK \l "_Toc141885072" </w:instrText>
          </w:r>
          <w:r>
            <w:rPr>
              <w:highlight w:val="none"/>
            </w:rPr>
            <w:fldChar w:fldCharType="separate"/>
          </w:r>
          <w:r>
            <w:rPr>
              <w:rStyle w:val="9"/>
              <w:rFonts w:ascii="Times New Roman" w:hAnsi="Times New Roman" w:cs="Times New Roman"/>
              <w:highlight w:val="none"/>
            </w:rPr>
            <w:t>2.1.5 Неблагоприятные гидрологические явления. Экзогенно-геологические процессы</w:t>
          </w:r>
          <w:r>
            <w:rPr>
              <w:rFonts w:ascii="Times New Roman" w:hAnsi="Times New Roman" w:cs="Times New Roman"/>
              <w:highlight w:val="none"/>
            </w:rPr>
            <w:tab/>
          </w:r>
          <w:r>
            <w:rPr>
              <w:rFonts w:ascii="Times New Roman" w:hAnsi="Times New Roman" w:cs="Times New Roman"/>
              <w:highlight w:val="none"/>
            </w:rPr>
            <w:fldChar w:fldCharType="begin"/>
          </w:r>
          <w:r>
            <w:rPr>
              <w:rFonts w:ascii="Times New Roman" w:hAnsi="Times New Roman" w:cs="Times New Roman"/>
              <w:highlight w:val="none"/>
            </w:rPr>
            <w:instrText xml:space="preserve"> PAGEREF _Toc141885072 \h </w:instrText>
          </w:r>
          <w:r>
            <w:rPr>
              <w:rFonts w:ascii="Times New Roman" w:hAnsi="Times New Roman" w:cs="Times New Roman"/>
              <w:highlight w:val="none"/>
            </w:rPr>
            <w:fldChar w:fldCharType="separate"/>
          </w:r>
          <w:r>
            <w:rPr>
              <w:rFonts w:ascii="Times New Roman" w:hAnsi="Times New Roman" w:cs="Times New Roman"/>
              <w:highlight w:val="none"/>
            </w:rPr>
            <w:t>9</w:t>
          </w:r>
          <w:r>
            <w:rPr>
              <w:rFonts w:ascii="Times New Roman" w:hAnsi="Times New Roman" w:cs="Times New Roman"/>
              <w:highlight w:val="none"/>
            </w:rPr>
            <w:fldChar w:fldCharType="end"/>
          </w:r>
          <w:r>
            <w:rPr>
              <w:rFonts w:ascii="Times New Roman" w:hAnsi="Times New Roman" w:cs="Times New Roman"/>
              <w:highlight w:val="none"/>
            </w:rPr>
            <w:fldChar w:fldCharType="end"/>
          </w:r>
        </w:p>
        <w:p>
          <w:pPr>
            <w:pStyle w:val="15"/>
            <w:shd w:val="clear"/>
            <w:tabs>
              <w:tab w:val="right" w:leader="dot" w:pos="9345"/>
            </w:tabs>
            <w:spacing w:line="276" w:lineRule="auto"/>
            <w:jc w:val="both"/>
            <w:rPr>
              <w:rFonts w:ascii="Times New Roman" w:hAnsi="Times New Roman" w:cs="Times New Roman" w:eastAsiaTheme="minorEastAsia"/>
              <w:highlight w:val="none"/>
              <w:lang w:eastAsia="ru-RU"/>
            </w:rPr>
          </w:pPr>
          <w:r>
            <w:rPr>
              <w:highlight w:val="none"/>
            </w:rPr>
            <w:fldChar w:fldCharType="begin"/>
          </w:r>
          <w:r>
            <w:rPr>
              <w:highlight w:val="none"/>
            </w:rPr>
            <w:instrText xml:space="preserve"> HYPERLINK \l "_Toc141885073" </w:instrText>
          </w:r>
          <w:r>
            <w:rPr>
              <w:highlight w:val="none"/>
            </w:rPr>
            <w:fldChar w:fldCharType="separate"/>
          </w:r>
          <w:r>
            <w:rPr>
              <w:rStyle w:val="9"/>
              <w:rFonts w:ascii="Times New Roman" w:hAnsi="Times New Roman" w:cs="Times New Roman"/>
              <w:highlight w:val="none"/>
            </w:rPr>
            <w:t>2.1.6 Месторождения полезных ископаемых</w:t>
          </w:r>
          <w:r>
            <w:rPr>
              <w:rFonts w:ascii="Times New Roman" w:hAnsi="Times New Roman" w:cs="Times New Roman"/>
              <w:highlight w:val="none"/>
            </w:rPr>
            <w:tab/>
          </w:r>
          <w:r>
            <w:rPr>
              <w:rFonts w:ascii="Times New Roman" w:hAnsi="Times New Roman" w:cs="Times New Roman"/>
              <w:highlight w:val="none"/>
            </w:rPr>
            <w:fldChar w:fldCharType="begin"/>
          </w:r>
          <w:r>
            <w:rPr>
              <w:rFonts w:ascii="Times New Roman" w:hAnsi="Times New Roman" w:cs="Times New Roman"/>
              <w:highlight w:val="none"/>
            </w:rPr>
            <w:instrText xml:space="preserve"> PAGEREF _Toc141885073 \h </w:instrText>
          </w:r>
          <w:r>
            <w:rPr>
              <w:rFonts w:ascii="Times New Roman" w:hAnsi="Times New Roman" w:cs="Times New Roman"/>
              <w:highlight w:val="none"/>
            </w:rPr>
            <w:fldChar w:fldCharType="separate"/>
          </w:r>
          <w:r>
            <w:rPr>
              <w:rFonts w:ascii="Times New Roman" w:hAnsi="Times New Roman" w:cs="Times New Roman"/>
              <w:highlight w:val="none"/>
            </w:rPr>
            <w:t>10</w:t>
          </w:r>
          <w:r>
            <w:rPr>
              <w:rFonts w:ascii="Times New Roman" w:hAnsi="Times New Roman" w:cs="Times New Roman"/>
              <w:highlight w:val="none"/>
            </w:rPr>
            <w:fldChar w:fldCharType="end"/>
          </w:r>
          <w:r>
            <w:rPr>
              <w:rFonts w:ascii="Times New Roman" w:hAnsi="Times New Roman" w:cs="Times New Roman"/>
              <w:highlight w:val="none"/>
            </w:rPr>
            <w:fldChar w:fldCharType="end"/>
          </w:r>
        </w:p>
        <w:p>
          <w:pPr>
            <w:pStyle w:val="15"/>
            <w:shd w:val="clear"/>
            <w:tabs>
              <w:tab w:val="right" w:leader="dot" w:pos="9345"/>
            </w:tabs>
            <w:spacing w:line="276" w:lineRule="auto"/>
            <w:jc w:val="both"/>
            <w:rPr>
              <w:rFonts w:ascii="Times New Roman" w:hAnsi="Times New Roman" w:cs="Times New Roman" w:eastAsiaTheme="minorEastAsia"/>
              <w:highlight w:val="none"/>
              <w:lang w:eastAsia="ru-RU"/>
            </w:rPr>
          </w:pPr>
          <w:r>
            <w:rPr>
              <w:highlight w:val="none"/>
            </w:rPr>
            <w:fldChar w:fldCharType="begin"/>
          </w:r>
          <w:r>
            <w:rPr>
              <w:highlight w:val="none"/>
            </w:rPr>
            <w:instrText xml:space="preserve"> HYPERLINK \l "_Toc141885074" </w:instrText>
          </w:r>
          <w:r>
            <w:rPr>
              <w:highlight w:val="none"/>
            </w:rPr>
            <w:fldChar w:fldCharType="separate"/>
          </w:r>
          <w:r>
            <w:rPr>
              <w:rStyle w:val="9"/>
              <w:rFonts w:ascii="Times New Roman" w:hAnsi="Times New Roman" w:cs="Times New Roman"/>
              <w:highlight w:val="none"/>
            </w:rPr>
            <w:t>2.1.7 Растительность и животный мир</w:t>
          </w:r>
          <w:r>
            <w:rPr>
              <w:rFonts w:ascii="Times New Roman" w:hAnsi="Times New Roman" w:cs="Times New Roman"/>
              <w:highlight w:val="none"/>
            </w:rPr>
            <w:tab/>
          </w:r>
          <w:r>
            <w:rPr>
              <w:rFonts w:ascii="Times New Roman" w:hAnsi="Times New Roman" w:cs="Times New Roman"/>
              <w:highlight w:val="none"/>
            </w:rPr>
            <w:fldChar w:fldCharType="begin"/>
          </w:r>
          <w:r>
            <w:rPr>
              <w:rFonts w:ascii="Times New Roman" w:hAnsi="Times New Roman" w:cs="Times New Roman"/>
              <w:highlight w:val="none"/>
            </w:rPr>
            <w:instrText xml:space="preserve"> PAGEREF _Toc141885074 \h </w:instrText>
          </w:r>
          <w:r>
            <w:rPr>
              <w:rFonts w:ascii="Times New Roman" w:hAnsi="Times New Roman" w:cs="Times New Roman"/>
              <w:highlight w:val="none"/>
            </w:rPr>
            <w:fldChar w:fldCharType="separate"/>
          </w:r>
          <w:r>
            <w:rPr>
              <w:rFonts w:ascii="Times New Roman" w:hAnsi="Times New Roman" w:cs="Times New Roman"/>
              <w:highlight w:val="none"/>
            </w:rPr>
            <w:t>10</w:t>
          </w:r>
          <w:r>
            <w:rPr>
              <w:rFonts w:ascii="Times New Roman" w:hAnsi="Times New Roman" w:cs="Times New Roman"/>
              <w:highlight w:val="none"/>
            </w:rPr>
            <w:fldChar w:fldCharType="end"/>
          </w:r>
          <w:r>
            <w:rPr>
              <w:rFonts w:ascii="Times New Roman" w:hAnsi="Times New Roman" w:cs="Times New Roman"/>
              <w:highlight w:val="none"/>
            </w:rPr>
            <w:fldChar w:fldCharType="end"/>
          </w:r>
        </w:p>
        <w:p>
          <w:pPr>
            <w:pStyle w:val="15"/>
            <w:shd w:val="clear"/>
            <w:tabs>
              <w:tab w:val="right" w:leader="dot" w:pos="9345"/>
            </w:tabs>
            <w:spacing w:line="276" w:lineRule="auto"/>
            <w:jc w:val="both"/>
            <w:rPr>
              <w:rFonts w:ascii="Times New Roman" w:hAnsi="Times New Roman" w:cs="Times New Roman" w:eastAsiaTheme="minorEastAsia"/>
              <w:highlight w:val="none"/>
              <w:lang w:eastAsia="ru-RU"/>
            </w:rPr>
          </w:pPr>
          <w:r>
            <w:rPr>
              <w:highlight w:val="none"/>
            </w:rPr>
            <w:fldChar w:fldCharType="begin"/>
          </w:r>
          <w:r>
            <w:rPr>
              <w:highlight w:val="none"/>
            </w:rPr>
            <w:instrText xml:space="preserve"> HYPERLINK \l "_Toc141885075" </w:instrText>
          </w:r>
          <w:r>
            <w:rPr>
              <w:highlight w:val="none"/>
            </w:rPr>
            <w:fldChar w:fldCharType="separate"/>
          </w:r>
          <w:r>
            <w:rPr>
              <w:rStyle w:val="9"/>
              <w:rFonts w:ascii="Times New Roman" w:hAnsi="Times New Roman" w:cs="Times New Roman"/>
              <w:highlight w:val="none"/>
            </w:rPr>
            <w:t>2.2 Анализ существующего положения (сущ застройка, зоуит, ограничения)</w:t>
          </w:r>
          <w:r>
            <w:rPr>
              <w:rFonts w:ascii="Times New Roman" w:hAnsi="Times New Roman" w:cs="Times New Roman"/>
              <w:highlight w:val="none"/>
            </w:rPr>
            <w:tab/>
          </w:r>
          <w:r>
            <w:rPr>
              <w:rFonts w:ascii="Times New Roman" w:hAnsi="Times New Roman" w:cs="Times New Roman"/>
              <w:highlight w:val="none"/>
            </w:rPr>
            <w:fldChar w:fldCharType="begin"/>
          </w:r>
          <w:r>
            <w:rPr>
              <w:rFonts w:ascii="Times New Roman" w:hAnsi="Times New Roman" w:cs="Times New Roman"/>
              <w:highlight w:val="none"/>
            </w:rPr>
            <w:instrText xml:space="preserve"> PAGEREF _Toc141885075 \h </w:instrText>
          </w:r>
          <w:r>
            <w:rPr>
              <w:rFonts w:ascii="Times New Roman" w:hAnsi="Times New Roman" w:cs="Times New Roman"/>
              <w:highlight w:val="none"/>
            </w:rPr>
            <w:fldChar w:fldCharType="separate"/>
          </w:r>
          <w:r>
            <w:rPr>
              <w:rFonts w:ascii="Times New Roman" w:hAnsi="Times New Roman" w:cs="Times New Roman"/>
              <w:highlight w:val="none"/>
            </w:rPr>
            <w:t>11</w:t>
          </w:r>
          <w:r>
            <w:rPr>
              <w:rFonts w:ascii="Times New Roman" w:hAnsi="Times New Roman" w:cs="Times New Roman"/>
              <w:highlight w:val="none"/>
            </w:rPr>
            <w:fldChar w:fldCharType="end"/>
          </w:r>
          <w:r>
            <w:rPr>
              <w:rFonts w:ascii="Times New Roman" w:hAnsi="Times New Roman" w:cs="Times New Roman"/>
              <w:highlight w:val="none"/>
            </w:rPr>
            <w:fldChar w:fldCharType="end"/>
          </w:r>
        </w:p>
        <w:p>
          <w:pPr>
            <w:pStyle w:val="15"/>
            <w:shd w:val="clear"/>
            <w:tabs>
              <w:tab w:val="right" w:leader="dot" w:pos="9345"/>
            </w:tabs>
            <w:spacing w:line="276" w:lineRule="auto"/>
            <w:jc w:val="both"/>
            <w:rPr>
              <w:rFonts w:ascii="Times New Roman" w:hAnsi="Times New Roman" w:cs="Times New Roman" w:eastAsiaTheme="minorEastAsia"/>
              <w:highlight w:val="none"/>
              <w:lang w:eastAsia="ru-RU"/>
            </w:rPr>
          </w:pPr>
          <w:r>
            <w:rPr>
              <w:highlight w:val="none"/>
            </w:rPr>
            <w:fldChar w:fldCharType="begin"/>
          </w:r>
          <w:r>
            <w:rPr>
              <w:highlight w:val="none"/>
            </w:rPr>
            <w:instrText xml:space="preserve"> HYPERLINK \l "_Toc141885076" </w:instrText>
          </w:r>
          <w:r>
            <w:rPr>
              <w:highlight w:val="none"/>
            </w:rPr>
            <w:fldChar w:fldCharType="separate"/>
          </w:r>
          <w:r>
            <w:rPr>
              <w:rStyle w:val="9"/>
              <w:rFonts w:ascii="Times New Roman" w:hAnsi="Times New Roman" w:cs="Times New Roman"/>
              <w:highlight w:val="none"/>
            </w:rPr>
            <w:t>3. ОБОСНОВАНИЕ ОПРЕДЕЛЕНИЯ ГРАНИЦ ЗОН ПЛАНИРУЕМОГО РАЗМЕЩЕНИЯ ОБЪЕКТОВ КАПИТАЛЬНОГО СТРОИТЕЛЬСТВА</w:t>
          </w:r>
          <w:r>
            <w:rPr>
              <w:rFonts w:ascii="Times New Roman" w:hAnsi="Times New Roman" w:cs="Times New Roman"/>
              <w:highlight w:val="none"/>
            </w:rPr>
            <w:tab/>
          </w:r>
          <w:r>
            <w:rPr>
              <w:rFonts w:ascii="Times New Roman" w:hAnsi="Times New Roman" w:cs="Times New Roman"/>
              <w:highlight w:val="none"/>
            </w:rPr>
            <w:fldChar w:fldCharType="begin"/>
          </w:r>
          <w:r>
            <w:rPr>
              <w:rFonts w:ascii="Times New Roman" w:hAnsi="Times New Roman" w:cs="Times New Roman"/>
              <w:highlight w:val="none"/>
            </w:rPr>
            <w:instrText xml:space="preserve"> PAGEREF _Toc141885076 \h </w:instrText>
          </w:r>
          <w:r>
            <w:rPr>
              <w:rFonts w:ascii="Times New Roman" w:hAnsi="Times New Roman" w:cs="Times New Roman"/>
              <w:highlight w:val="none"/>
            </w:rPr>
            <w:fldChar w:fldCharType="separate"/>
          </w:r>
          <w:r>
            <w:rPr>
              <w:rFonts w:ascii="Times New Roman" w:hAnsi="Times New Roman" w:cs="Times New Roman"/>
              <w:highlight w:val="none"/>
            </w:rPr>
            <w:t>12</w:t>
          </w:r>
          <w:r>
            <w:rPr>
              <w:rFonts w:ascii="Times New Roman" w:hAnsi="Times New Roman" w:cs="Times New Roman"/>
              <w:highlight w:val="none"/>
            </w:rPr>
            <w:fldChar w:fldCharType="end"/>
          </w:r>
          <w:r>
            <w:rPr>
              <w:rFonts w:ascii="Times New Roman" w:hAnsi="Times New Roman" w:cs="Times New Roman"/>
              <w:highlight w:val="none"/>
            </w:rPr>
            <w:fldChar w:fldCharType="end"/>
          </w:r>
        </w:p>
        <w:p>
          <w:pPr>
            <w:pStyle w:val="15"/>
            <w:shd w:val="clear"/>
            <w:tabs>
              <w:tab w:val="right" w:leader="dot" w:pos="9345"/>
            </w:tabs>
            <w:spacing w:line="276" w:lineRule="auto"/>
            <w:jc w:val="both"/>
            <w:rPr>
              <w:rFonts w:ascii="Times New Roman" w:hAnsi="Times New Roman" w:cs="Times New Roman" w:eastAsiaTheme="minorEastAsia"/>
              <w:highlight w:val="none"/>
              <w:lang w:eastAsia="ru-RU"/>
            </w:rPr>
          </w:pPr>
          <w:r>
            <w:rPr>
              <w:highlight w:val="none"/>
            </w:rPr>
            <w:fldChar w:fldCharType="begin"/>
          </w:r>
          <w:r>
            <w:rPr>
              <w:highlight w:val="none"/>
            </w:rPr>
            <w:instrText xml:space="preserve"> HYPERLINK \l "_Toc141885077" </w:instrText>
          </w:r>
          <w:r>
            <w:rPr>
              <w:highlight w:val="none"/>
            </w:rPr>
            <w:fldChar w:fldCharType="separate"/>
          </w:r>
          <w:r>
            <w:rPr>
              <w:rStyle w:val="9"/>
              <w:rFonts w:ascii="Times New Roman" w:hAnsi="Times New Roman" w:cs="Times New Roman"/>
              <w:highlight w:val="none"/>
            </w:rPr>
            <w:t>4.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КОМПЛЕКСНОГО РАЗВИТИЯ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r>
            <w:rPr>
              <w:rFonts w:ascii="Times New Roman" w:hAnsi="Times New Roman" w:cs="Times New Roman"/>
              <w:highlight w:val="none"/>
            </w:rPr>
            <w:tab/>
          </w:r>
          <w:r>
            <w:rPr>
              <w:rFonts w:ascii="Times New Roman" w:hAnsi="Times New Roman" w:cs="Times New Roman"/>
              <w:highlight w:val="none"/>
            </w:rPr>
            <w:fldChar w:fldCharType="begin"/>
          </w:r>
          <w:r>
            <w:rPr>
              <w:rFonts w:ascii="Times New Roman" w:hAnsi="Times New Roman" w:cs="Times New Roman"/>
              <w:highlight w:val="none"/>
            </w:rPr>
            <w:instrText xml:space="preserve"> PAGEREF _Toc141885077 \h </w:instrText>
          </w:r>
          <w:r>
            <w:rPr>
              <w:rFonts w:ascii="Times New Roman" w:hAnsi="Times New Roman" w:cs="Times New Roman"/>
              <w:highlight w:val="none"/>
            </w:rPr>
            <w:fldChar w:fldCharType="separate"/>
          </w:r>
          <w:r>
            <w:rPr>
              <w:rFonts w:ascii="Times New Roman" w:hAnsi="Times New Roman" w:cs="Times New Roman"/>
              <w:highlight w:val="none"/>
            </w:rPr>
            <w:t>12</w:t>
          </w:r>
          <w:r>
            <w:rPr>
              <w:rFonts w:ascii="Times New Roman" w:hAnsi="Times New Roman" w:cs="Times New Roman"/>
              <w:highlight w:val="none"/>
            </w:rPr>
            <w:fldChar w:fldCharType="end"/>
          </w:r>
          <w:r>
            <w:rPr>
              <w:rFonts w:ascii="Times New Roman" w:hAnsi="Times New Roman" w:cs="Times New Roman"/>
              <w:highlight w:val="none"/>
            </w:rPr>
            <w:fldChar w:fldCharType="end"/>
          </w:r>
        </w:p>
        <w:p>
          <w:pPr>
            <w:pStyle w:val="15"/>
            <w:shd w:val="clear"/>
            <w:tabs>
              <w:tab w:val="right" w:leader="dot" w:pos="9345"/>
            </w:tabs>
            <w:spacing w:line="276" w:lineRule="auto"/>
            <w:jc w:val="both"/>
            <w:rPr>
              <w:rFonts w:ascii="Times New Roman" w:hAnsi="Times New Roman" w:cs="Times New Roman" w:eastAsiaTheme="minorEastAsia"/>
              <w:highlight w:val="none"/>
              <w:lang w:eastAsia="ru-RU"/>
            </w:rPr>
          </w:pPr>
          <w:r>
            <w:rPr>
              <w:highlight w:val="none"/>
            </w:rPr>
            <w:fldChar w:fldCharType="begin"/>
          </w:r>
          <w:r>
            <w:rPr>
              <w:highlight w:val="none"/>
            </w:rPr>
            <w:instrText xml:space="preserve"> HYPERLINK \l "_Toc141885078" </w:instrText>
          </w:r>
          <w:r>
            <w:rPr>
              <w:highlight w:val="none"/>
            </w:rPr>
            <w:fldChar w:fldCharType="separate"/>
          </w:r>
          <w:r>
            <w:rPr>
              <w:rStyle w:val="9"/>
              <w:rFonts w:ascii="Times New Roman" w:hAnsi="Times New Roman" w:cs="Times New Roman"/>
              <w:highlight w:val="none"/>
            </w:rPr>
            <w:t>5.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r>
            <w:rPr>
              <w:rFonts w:ascii="Times New Roman" w:hAnsi="Times New Roman" w:cs="Times New Roman"/>
              <w:highlight w:val="none"/>
            </w:rPr>
            <w:tab/>
          </w:r>
          <w:r>
            <w:rPr>
              <w:rFonts w:ascii="Times New Roman" w:hAnsi="Times New Roman" w:cs="Times New Roman"/>
              <w:highlight w:val="none"/>
            </w:rPr>
            <w:fldChar w:fldCharType="begin"/>
          </w:r>
          <w:r>
            <w:rPr>
              <w:rFonts w:ascii="Times New Roman" w:hAnsi="Times New Roman" w:cs="Times New Roman"/>
              <w:highlight w:val="none"/>
            </w:rPr>
            <w:instrText xml:space="preserve"> PAGEREF _Toc141885078 \h </w:instrText>
          </w:r>
          <w:r>
            <w:rPr>
              <w:rFonts w:ascii="Times New Roman" w:hAnsi="Times New Roman" w:cs="Times New Roman"/>
              <w:highlight w:val="none"/>
            </w:rPr>
            <w:fldChar w:fldCharType="separate"/>
          </w:r>
          <w:r>
            <w:rPr>
              <w:rFonts w:ascii="Times New Roman" w:hAnsi="Times New Roman" w:cs="Times New Roman"/>
              <w:highlight w:val="none"/>
            </w:rPr>
            <w:t>15</w:t>
          </w:r>
          <w:r>
            <w:rPr>
              <w:rFonts w:ascii="Times New Roman" w:hAnsi="Times New Roman" w:cs="Times New Roman"/>
              <w:highlight w:val="none"/>
            </w:rPr>
            <w:fldChar w:fldCharType="end"/>
          </w:r>
          <w:r>
            <w:rPr>
              <w:rFonts w:ascii="Times New Roman" w:hAnsi="Times New Roman" w:cs="Times New Roman"/>
              <w:highlight w:val="none"/>
            </w:rPr>
            <w:fldChar w:fldCharType="end"/>
          </w:r>
        </w:p>
        <w:p>
          <w:pPr>
            <w:pStyle w:val="15"/>
            <w:shd w:val="clear"/>
            <w:tabs>
              <w:tab w:val="right" w:leader="dot" w:pos="9345"/>
            </w:tabs>
            <w:spacing w:line="276" w:lineRule="auto"/>
            <w:jc w:val="both"/>
            <w:rPr>
              <w:rFonts w:ascii="Times New Roman" w:hAnsi="Times New Roman" w:cs="Times New Roman" w:eastAsiaTheme="minorEastAsia"/>
              <w:highlight w:val="none"/>
              <w:lang w:eastAsia="ru-RU"/>
            </w:rPr>
          </w:pPr>
          <w:r>
            <w:rPr>
              <w:highlight w:val="none"/>
            </w:rPr>
            <w:fldChar w:fldCharType="begin"/>
          </w:r>
          <w:r>
            <w:rPr>
              <w:highlight w:val="none"/>
            </w:rPr>
            <w:instrText xml:space="preserve"> HYPERLINK \l "_Toc141885079" </w:instrText>
          </w:r>
          <w:r>
            <w:rPr>
              <w:highlight w:val="none"/>
            </w:rPr>
            <w:fldChar w:fldCharType="separate"/>
          </w:r>
          <w:r>
            <w:rPr>
              <w:rStyle w:val="9"/>
              <w:rFonts w:ascii="Times New Roman" w:hAnsi="Times New Roman" w:cs="Times New Roman"/>
              <w:highlight w:val="none"/>
            </w:rPr>
            <w:t>6. ПЕРЕЧЕНЬ МЕРОПРИЯТИЙ ПО ОХРАНЕ ОКРУЖАЮЩЕЙ СРЕДЫ</w:t>
          </w:r>
          <w:r>
            <w:rPr>
              <w:rFonts w:ascii="Times New Roman" w:hAnsi="Times New Roman" w:cs="Times New Roman"/>
              <w:highlight w:val="none"/>
            </w:rPr>
            <w:tab/>
          </w:r>
          <w:r>
            <w:rPr>
              <w:rFonts w:ascii="Times New Roman" w:hAnsi="Times New Roman" w:cs="Times New Roman"/>
              <w:highlight w:val="none"/>
            </w:rPr>
            <w:fldChar w:fldCharType="begin"/>
          </w:r>
          <w:r>
            <w:rPr>
              <w:rFonts w:ascii="Times New Roman" w:hAnsi="Times New Roman" w:cs="Times New Roman"/>
              <w:highlight w:val="none"/>
            </w:rPr>
            <w:instrText xml:space="preserve"> PAGEREF _Toc141885079 \h </w:instrText>
          </w:r>
          <w:r>
            <w:rPr>
              <w:rFonts w:ascii="Times New Roman" w:hAnsi="Times New Roman" w:cs="Times New Roman"/>
              <w:highlight w:val="none"/>
            </w:rPr>
            <w:fldChar w:fldCharType="separate"/>
          </w:r>
          <w:r>
            <w:rPr>
              <w:rFonts w:ascii="Times New Roman" w:hAnsi="Times New Roman" w:cs="Times New Roman"/>
              <w:highlight w:val="none"/>
            </w:rPr>
            <w:t>16</w:t>
          </w:r>
          <w:r>
            <w:rPr>
              <w:rFonts w:ascii="Times New Roman" w:hAnsi="Times New Roman" w:cs="Times New Roman"/>
              <w:highlight w:val="none"/>
            </w:rPr>
            <w:fldChar w:fldCharType="end"/>
          </w:r>
          <w:r>
            <w:rPr>
              <w:rFonts w:ascii="Times New Roman" w:hAnsi="Times New Roman" w:cs="Times New Roman"/>
              <w:highlight w:val="none"/>
            </w:rPr>
            <w:fldChar w:fldCharType="end"/>
          </w:r>
        </w:p>
        <w:p>
          <w:pPr>
            <w:pStyle w:val="15"/>
            <w:shd w:val="clear"/>
            <w:tabs>
              <w:tab w:val="right" w:leader="dot" w:pos="9345"/>
            </w:tabs>
            <w:spacing w:line="276" w:lineRule="auto"/>
            <w:jc w:val="both"/>
            <w:rPr>
              <w:rFonts w:ascii="Times New Roman" w:hAnsi="Times New Roman" w:cs="Times New Roman" w:eastAsiaTheme="minorEastAsia"/>
              <w:highlight w:val="none"/>
              <w:lang w:eastAsia="ru-RU"/>
            </w:rPr>
          </w:pPr>
          <w:r>
            <w:rPr>
              <w:highlight w:val="none"/>
            </w:rPr>
            <w:fldChar w:fldCharType="begin"/>
          </w:r>
          <w:r>
            <w:rPr>
              <w:highlight w:val="none"/>
            </w:rPr>
            <w:instrText xml:space="preserve"> HYPERLINK \l "_Toc141885080" </w:instrText>
          </w:r>
          <w:r>
            <w:rPr>
              <w:highlight w:val="none"/>
            </w:rPr>
            <w:fldChar w:fldCharType="separate"/>
          </w:r>
          <w:r>
            <w:rPr>
              <w:rStyle w:val="9"/>
              <w:rFonts w:ascii="Times New Roman" w:hAnsi="Times New Roman" w:cs="Times New Roman"/>
              <w:highlight w:val="none"/>
            </w:rPr>
            <w:t>7. ОБОСНОВАНИЕ ОЧЕРЕДНОСТИ ПЛАНИРУЕМОГО РАЗВИТИЯ ТЕРРИТОРИИ</w:t>
          </w:r>
          <w:r>
            <w:rPr>
              <w:rFonts w:ascii="Times New Roman" w:hAnsi="Times New Roman" w:cs="Times New Roman"/>
              <w:highlight w:val="none"/>
            </w:rPr>
            <w:tab/>
          </w:r>
          <w:r>
            <w:rPr>
              <w:rFonts w:ascii="Times New Roman" w:hAnsi="Times New Roman" w:cs="Times New Roman"/>
              <w:highlight w:val="none"/>
            </w:rPr>
            <w:fldChar w:fldCharType="begin"/>
          </w:r>
          <w:r>
            <w:rPr>
              <w:rFonts w:ascii="Times New Roman" w:hAnsi="Times New Roman" w:cs="Times New Roman"/>
              <w:highlight w:val="none"/>
            </w:rPr>
            <w:instrText xml:space="preserve"> PAGEREF _Toc141885080 \h </w:instrText>
          </w:r>
          <w:r>
            <w:rPr>
              <w:rFonts w:ascii="Times New Roman" w:hAnsi="Times New Roman" w:cs="Times New Roman"/>
              <w:highlight w:val="none"/>
            </w:rPr>
            <w:fldChar w:fldCharType="separate"/>
          </w:r>
          <w:r>
            <w:rPr>
              <w:rFonts w:ascii="Times New Roman" w:hAnsi="Times New Roman" w:cs="Times New Roman"/>
              <w:highlight w:val="none"/>
            </w:rPr>
            <w:t>17</w:t>
          </w:r>
          <w:r>
            <w:rPr>
              <w:rFonts w:ascii="Times New Roman" w:hAnsi="Times New Roman" w:cs="Times New Roman"/>
              <w:highlight w:val="none"/>
            </w:rPr>
            <w:fldChar w:fldCharType="end"/>
          </w:r>
          <w:r>
            <w:rPr>
              <w:rFonts w:ascii="Times New Roman" w:hAnsi="Times New Roman" w:cs="Times New Roman"/>
              <w:highlight w:val="none"/>
            </w:rPr>
            <w:fldChar w:fldCharType="end"/>
          </w:r>
        </w:p>
        <w:p>
          <w:pPr>
            <w:shd w:val="clear"/>
            <w:spacing w:line="276" w:lineRule="auto"/>
            <w:rPr>
              <w:highlight w:val="none"/>
            </w:rPr>
          </w:pPr>
          <w:r>
            <w:rPr>
              <w:sz w:val="24"/>
              <w:szCs w:val="24"/>
              <w:highlight w:val="none"/>
            </w:rPr>
            <w:fldChar w:fldCharType="end"/>
          </w:r>
        </w:p>
      </w:sdtContent>
    </w:sdt>
    <w:p>
      <w:pPr>
        <w:shd w:val="clear"/>
        <w:spacing w:line="276" w:lineRule="auto"/>
        <w:ind w:firstLine="0"/>
        <w:rPr>
          <w:rFonts w:eastAsia="Calibri"/>
          <w:sz w:val="24"/>
          <w:szCs w:val="24"/>
          <w:highlight w:val="none"/>
        </w:rPr>
      </w:pPr>
    </w:p>
    <w:p>
      <w:pPr>
        <w:shd w:val="clear"/>
        <w:spacing w:line="276" w:lineRule="auto"/>
        <w:ind w:firstLine="0"/>
        <w:rPr>
          <w:rFonts w:eastAsia="Calibri"/>
          <w:sz w:val="24"/>
          <w:szCs w:val="24"/>
          <w:highlight w:val="none"/>
        </w:rPr>
      </w:pPr>
    </w:p>
    <w:p>
      <w:pPr>
        <w:shd w:val="clear"/>
        <w:spacing w:line="276" w:lineRule="auto"/>
        <w:ind w:firstLine="0"/>
        <w:rPr>
          <w:rFonts w:eastAsia="Calibri"/>
          <w:sz w:val="24"/>
          <w:szCs w:val="24"/>
          <w:highlight w:val="none"/>
        </w:rPr>
        <w:sectPr>
          <w:pgSz w:w="11906" w:h="16838"/>
          <w:pgMar w:top="1134" w:right="850" w:bottom="1134" w:left="1701" w:header="708" w:footer="708" w:gutter="0"/>
          <w:cols w:space="708" w:num="1"/>
          <w:docGrid w:linePitch="360" w:charSpace="0"/>
        </w:sectPr>
      </w:pPr>
    </w:p>
    <w:p>
      <w:pPr>
        <w:shd w:val="clear"/>
        <w:spacing w:line="276" w:lineRule="auto"/>
        <w:ind w:firstLine="0"/>
        <w:rPr>
          <w:rFonts w:eastAsia="Calibri"/>
          <w:sz w:val="24"/>
          <w:szCs w:val="24"/>
          <w:highlight w:val="none"/>
        </w:rPr>
      </w:pPr>
    </w:p>
    <w:p>
      <w:pPr>
        <w:shd w:val="clear"/>
        <w:spacing w:line="276" w:lineRule="auto"/>
        <w:ind w:firstLine="0"/>
        <w:rPr>
          <w:rFonts w:eastAsia="Calibri"/>
          <w:sz w:val="24"/>
          <w:szCs w:val="24"/>
          <w:highlight w:val="none"/>
        </w:rPr>
      </w:pPr>
    </w:p>
    <w:p>
      <w:pPr>
        <w:shd w:val="clear"/>
        <w:spacing w:line="276" w:lineRule="auto"/>
        <w:ind w:firstLine="0"/>
        <w:rPr>
          <w:rFonts w:eastAsia="Calibri"/>
          <w:sz w:val="24"/>
          <w:szCs w:val="24"/>
          <w:highlight w:val="none"/>
        </w:rPr>
      </w:pPr>
    </w:p>
    <w:p>
      <w:pPr>
        <w:shd w:val="clear"/>
        <w:spacing w:line="276" w:lineRule="auto"/>
        <w:ind w:firstLine="0"/>
        <w:rPr>
          <w:rFonts w:eastAsia="Calibri"/>
          <w:sz w:val="24"/>
          <w:szCs w:val="24"/>
          <w:highlight w:val="none"/>
        </w:rPr>
      </w:pPr>
    </w:p>
    <w:p>
      <w:pPr>
        <w:shd w:val="clear"/>
        <w:spacing w:line="276" w:lineRule="auto"/>
        <w:ind w:firstLine="0"/>
        <w:rPr>
          <w:rFonts w:eastAsia="Calibri"/>
          <w:sz w:val="24"/>
          <w:szCs w:val="24"/>
          <w:highlight w:val="none"/>
        </w:rPr>
      </w:pPr>
    </w:p>
    <w:p>
      <w:pPr>
        <w:shd w:val="clear"/>
        <w:spacing w:line="276" w:lineRule="auto"/>
        <w:ind w:firstLine="0"/>
        <w:rPr>
          <w:rFonts w:eastAsia="Calibri"/>
          <w:sz w:val="24"/>
          <w:szCs w:val="24"/>
          <w:highlight w:val="none"/>
        </w:rPr>
      </w:pPr>
    </w:p>
    <w:p>
      <w:pPr>
        <w:shd w:val="clear"/>
        <w:spacing w:line="276" w:lineRule="auto"/>
        <w:ind w:firstLine="0"/>
        <w:rPr>
          <w:rFonts w:eastAsia="Calibri"/>
          <w:sz w:val="24"/>
          <w:szCs w:val="24"/>
          <w:highlight w:val="none"/>
        </w:rPr>
      </w:pPr>
    </w:p>
    <w:p>
      <w:pPr>
        <w:shd w:val="clear"/>
        <w:spacing w:line="276" w:lineRule="auto"/>
        <w:ind w:firstLine="0"/>
        <w:rPr>
          <w:rFonts w:eastAsia="Calibri"/>
          <w:sz w:val="24"/>
          <w:szCs w:val="24"/>
          <w:highlight w:val="none"/>
        </w:rPr>
      </w:pPr>
    </w:p>
    <w:p>
      <w:pPr>
        <w:shd w:val="clear"/>
        <w:spacing w:line="276" w:lineRule="auto"/>
        <w:ind w:firstLine="0"/>
        <w:rPr>
          <w:rFonts w:eastAsia="Calibri"/>
          <w:sz w:val="24"/>
          <w:szCs w:val="24"/>
          <w:highlight w:val="none"/>
        </w:rPr>
      </w:pPr>
    </w:p>
    <w:p>
      <w:pPr>
        <w:shd w:val="clear"/>
        <w:spacing w:line="276" w:lineRule="auto"/>
        <w:ind w:firstLine="0"/>
        <w:rPr>
          <w:rFonts w:eastAsia="Calibri"/>
          <w:sz w:val="24"/>
          <w:szCs w:val="24"/>
          <w:highlight w:val="none"/>
        </w:rPr>
      </w:pPr>
    </w:p>
    <w:p>
      <w:pPr>
        <w:shd w:val="clear"/>
        <w:spacing w:line="276" w:lineRule="auto"/>
        <w:ind w:firstLine="0"/>
        <w:rPr>
          <w:rFonts w:eastAsia="Calibri"/>
          <w:sz w:val="24"/>
          <w:szCs w:val="24"/>
          <w:highlight w:val="none"/>
        </w:rPr>
      </w:pPr>
    </w:p>
    <w:p>
      <w:pPr>
        <w:shd w:val="clear"/>
        <w:spacing w:line="276" w:lineRule="auto"/>
        <w:ind w:firstLine="0"/>
        <w:rPr>
          <w:rFonts w:eastAsia="Calibri"/>
          <w:sz w:val="24"/>
          <w:szCs w:val="24"/>
          <w:highlight w:val="none"/>
        </w:rPr>
      </w:pPr>
    </w:p>
    <w:p>
      <w:pPr>
        <w:shd w:val="clear"/>
        <w:spacing w:line="276" w:lineRule="auto"/>
        <w:ind w:firstLine="0"/>
        <w:rPr>
          <w:rFonts w:eastAsia="Calibri"/>
          <w:sz w:val="24"/>
          <w:szCs w:val="24"/>
          <w:highlight w:val="none"/>
        </w:rPr>
      </w:pPr>
    </w:p>
    <w:p>
      <w:pPr>
        <w:shd w:val="clear"/>
        <w:spacing w:line="276" w:lineRule="auto"/>
        <w:ind w:firstLine="0"/>
        <w:rPr>
          <w:rFonts w:eastAsia="Calibri"/>
          <w:sz w:val="24"/>
          <w:szCs w:val="24"/>
          <w:highlight w:val="none"/>
        </w:rPr>
      </w:pPr>
    </w:p>
    <w:p>
      <w:pPr>
        <w:shd w:val="clear"/>
        <w:spacing w:line="276" w:lineRule="auto"/>
        <w:ind w:firstLine="0"/>
        <w:rPr>
          <w:rFonts w:eastAsia="Calibri"/>
          <w:sz w:val="24"/>
          <w:szCs w:val="24"/>
          <w:highlight w:val="none"/>
        </w:rPr>
      </w:pPr>
    </w:p>
    <w:p>
      <w:pPr>
        <w:shd w:val="clear"/>
        <w:spacing w:line="276" w:lineRule="auto"/>
        <w:ind w:firstLine="0"/>
        <w:rPr>
          <w:rFonts w:eastAsia="Calibri"/>
          <w:sz w:val="24"/>
          <w:szCs w:val="24"/>
          <w:highlight w:val="none"/>
        </w:rPr>
      </w:pPr>
    </w:p>
    <w:p>
      <w:pPr>
        <w:shd w:val="clear"/>
        <w:spacing w:line="276" w:lineRule="auto"/>
        <w:ind w:firstLine="0"/>
        <w:rPr>
          <w:rFonts w:eastAsia="Calibri"/>
          <w:sz w:val="24"/>
          <w:szCs w:val="24"/>
          <w:highlight w:val="none"/>
        </w:rPr>
      </w:pPr>
    </w:p>
    <w:p>
      <w:pPr>
        <w:shd w:val="clear"/>
        <w:spacing w:line="276" w:lineRule="auto"/>
        <w:ind w:firstLine="0"/>
        <w:rPr>
          <w:rFonts w:eastAsia="Calibri"/>
          <w:sz w:val="24"/>
          <w:szCs w:val="24"/>
          <w:highlight w:val="none"/>
        </w:rPr>
      </w:pPr>
    </w:p>
    <w:p>
      <w:pPr>
        <w:shd w:val="clear"/>
        <w:spacing w:line="276" w:lineRule="auto"/>
        <w:ind w:firstLine="0"/>
        <w:rPr>
          <w:rFonts w:eastAsia="Calibri"/>
          <w:sz w:val="24"/>
          <w:szCs w:val="24"/>
          <w:highlight w:val="none"/>
        </w:rPr>
      </w:pPr>
    </w:p>
    <w:p>
      <w:pPr>
        <w:pStyle w:val="2"/>
        <w:numPr>
          <w:ilvl w:val="0"/>
          <w:numId w:val="2"/>
        </w:numPr>
        <w:shd w:val="clear"/>
        <w:spacing w:line="276" w:lineRule="auto"/>
        <w:ind w:left="0" w:firstLine="0"/>
        <w:jc w:val="center"/>
        <w:rPr>
          <w:rFonts w:ascii="Times New Roman" w:hAnsi="Times New Roman" w:eastAsia="Calibri" w:cs="Times New Roman"/>
          <w:b/>
          <w:bCs/>
          <w:color w:val="auto"/>
          <w:sz w:val="24"/>
          <w:szCs w:val="24"/>
          <w:highlight w:val="none"/>
        </w:rPr>
      </w:pPr>
      <w:bookmarkStart w:id="3" w:name="_Toc141885065"/>
      <w:r>
        <w:rPr>
          <w:rFonts w:ascii="Times New Roman" w:hAnsi="Times New Roman" w:eastAsia="Calibri" w:cs="Times New Roman"/>
          <w:b/>
          <w:bCs/>
          <w:color w:val="auto"/>
          <w:sz w:val="24"/>
          <w:szCs w:val="24"/>
          <w:highlight w:val="none"/>
        </w:rPr>
        <w:t>ГРАФИЧЕСКАЯ ЧАСТЬ</w:t>
      </w:r>
      <w:bookmarkEnd w:id="3"/>
    </w:p>
    <w:p>
      <w:pPr>
        <w:pStyle w:val="22"/>
        <w:shd w:val="clear"/>
        <w:spacing w:line="276" w:lineRule="auto"/>
        <w:ind w:firstLine="0"/>
        <w:rPr>
          <w:rFonts w:eastAsia="Calibri"/>
          <w:sz w:val="24"/>
          <w:szCs w:val="24"/>
          <w:highlight w:val="none"/>
        </w:rPr>
        <w:sectPr>
          <w:pgSz w:w="11906" w:h="16838"/>
          <w:pgMar w:top="1134" w:right="850" w:bottom="1134" w:left="1701" w:header="708" w:footer="708" w:gutter="0"/>
          <w:cols w:space="708" w:num="1"/>
          <w:docGrid w:linePitch="360" w:charSpace="0"/>
        </w:sectPr>
      </w:pPr>
    </w:p>
    <w:p>
      <w:pPr>
        <w:pStyle w:val="2"/>
        <w:shd w:val="clear"/>
        <w:spacing w:line="276" w:lineRule="auto"/>
        <w:ind w:firstLine="0"/>
        <w:rPr>
          <w:rFonts w:ascii="Times New Roman" w:hAnsi="Times New Roman" w:cs="Times New Roman"/>
          <w:b/>
          <w:bCs/>
          <w:color w:val="auto"/>
          <w:sz w:val="24"/>
          <w:szCs w:val="24"/>
          <w:highlight w:val="none"/>
        </w:rPr>
      </w:pPr>
      <w:bookmarkStart w:id="4" w:name="_Toc141885066"/>
      <w:r>
        <w:rPr>
          <w:rFonts w:ascii="Times New Roman" w:hAnsi="Times New Roman" w:eastAsia="Calibri" w:cs="Times New Roman"/>
          <w:b/>
          <w:bCs/>
          <w:color w:val="auto"/>
          <w:sz w:val="24"/>
          <w:szCs w:val="24"/>
          <w:highlight w:val="none"/>
        </w:rPr>
        <w:t xml:space="preserve">2. </w:t>
      </w:r>
      <w:r>
        <w:rPr>
          <w:rFonts w:ascii="Times New Roman" w:hAnsi="Times New Roman" w:cs="Times New Roman"/>
          <w:b/>
          <w:bCs/>
          <w:color w:val="auto"/>
          <w:sz w:val="24"/>
          <w:szCs w:val="24"/>
          <w:highlight w:val="none"/>
        </w:rPr>
        <w:t>Общая характеристика территории</w:t>
      </w:r>
      <w:bookmarkEnd w:id="4"/>
    </w:p>
    <w:p>
      <w:pPr>
        <w:pStyle w:val="2"/>
        <w:shd w:val="clear"/>
        <w:spacing w:line="276" w:lineRule="auto"/>
        <w:rPr>
          <w:rFonts w:ascii="Times New Roman" w:hAnsi="Times New Roman" w:cs="Times New Roman"/>
          <w:b/>
          <w:bCs/>
          <w:color w:val="auto"/>
          <w:sz w:val="24"/>
          <w:szCs w:val="24"/>
          <w:highlight w:val="none"/>
        </w:rPr>
      </w:pPr>
      <w:bookmarkStart w:id="5" w:name="_Toc141885067"/>
      <w:r>
        <w:rPr>
          <w:rFonts w:ascii="Times New Roman" w:hAnsi="Times New Roman" w:cs="Times New Roman"/>
          <w:b/>
          <w:bCs/>
          <w:color w:val="auto"/>
          <w:sz w:val="24"/>
          <w:szCs w:val="24"/>
          <w:highlight w:val="none"/>
        </w:rPr>
        <w:t>2.1 Сведения о природно-климатических условиях</w:t>
      </w:r>
      <w:bookmarkEnd w:id="5"/>
    </w:p>
    <w:p>
      <w:pPr>
        <w:shd w:val="clear"/>
        <w:spacing w:line="276" w:lineRule="auto"/>
        <w:rPr>
          <w:sz w:val="24"/>
          <w:szCs w:val="24"/>
          <w:highlight w:val="none"/>
        </w:rPr>
      </w:pPr>
    </w:p>
    <w:p>
      <w:pPr>
        <w:shd w:val="clear"/>
        <w:spacing w:line="276" w:lineRule="auto"/>
        <w:rPr>
          <w:sz w:val="24"/>
          <w:szCs w:val="24"/>
          <w:highlight w:val="none"/>
        </w:rPr>
      </w:pPr>
      <w:r>
        <w:rPr>
          <w:sz w:val="24"/>
          <w:szCs w:val="24"/>
          <w:highlight w:val="none"/>
        </w:rPr>
        <w:t xml:space="preserve">Ноглики - посёлок городского типа, административный центр муниципального образования «Городской округ Ногликский» Сахалинской области России. </w:t>
      </w:r>
    </w:p>
    <w:p>
      <w:pPr>
        <w:shd w:val="clear"/>
        <w:spacing w:line="276" w:lineRule="auto"/>
        <w:rPr>
          <w:sz w:val="24"/>
          <w:szCs w:val="24"/>
          <w:highlight w:val="none"/>
        </w:rPr>
      </w:pPr>
      <w:r>
        <w:rPr>
          <w:sz w:val="24"/>
          <w:szCs w:val="24"/>
          <w:highlight w:val="none"/>
        </w:rPr>
        <w:t xml:space="preserve">В географическом отношении поселок Ноглики расположен на северо-востоке острова Сахалин, на правом берегу реки Тыми, в 9 км от её впадения в Ныйский залив Охотского моря. </w:t>
      </w:r>
    </w:p>
    <w:p>
      <w:pPr>
        <w:shd w:val="clear"/>
        <w:rPr>
          <w:sz w:val="24"/>
          <w:szCs w:val="24"/>
          <w:highlight w:val="none"/>
        </w:rPr>
      </w:pPr>
      <w:bookmarkStart w:id="6" w:name="_Toc141885075"/>
    </w:p>
    <w:p>
      <w:pPr>
        <w:pStyle w:val="2"/>
        <w:shd w:val="clear"/>
        <w:rPr>
          <w:rFonts w:ascii="Times New Roman" w:hAnsi="Times New Roman" w:cs="Times New Roman"/>
          <w:b/>
          <w:bCs/>
          <w:color w:val="auto"/>
          <w:sz w:val="24"/>
          <w:szCs w:val="24"/>
          <w:highlight w:val="none"/>
        </w:rPr>
      </w:pPr>
      <w:bookmarkStart w:id="7" w:name="_Toc143612297"/>
      <w:r>
        <w:rPr>
          <w:rFonts w:ascii="Times New Roman" w:hAnsi="Times New Roman" w:cs="Times New Roman"/>
          <w:b/>
          <w:bCs/>
          <w:color w:val="auto"/>
          <w:sz w:val="24"/>
          <w:szCs w:val="24"/>
          <w:highlight w:val="none"/>
        </w:rPr>
        <w:t>2.1.1 Климатические характеристики</w:t>
      </w:r>
      <w:bookmarkEnd w:id="7"/>
    </w:p>
    <w:p>
      <w:pPr>
        <w:shd w:val="clear"/>
        <w:rPr>
          <w:highlight w:val="none"/>
        </w:rPr>
      </w:pPr>
    </w:p>
    <w:p>
      <w:pPr>
        <w:shd w:val="clear"/>
        <w:rPr>
          <w:sz w:val="24"/>
          <w:szCs w:val="24"/>
          <w:highlight w:val="none"/>
        </w:rPr>
      </w:pPr>
      <w:r>
        <w:rPr>
          <w:sz w:val="24"/>
          <w:szCs w:val="24"/>
          <w:highlight w:val="none"/>
        </w:rPr>
        <w:t>Территория проектирования расположена в северо-восточной части острова Сахалин в сфере действия муссона. Зимний муссон приносит холодный континентальный воздух, вызывает суровую, с частыми метелями зиму. С летним муссоном связано влажное и прохладное лето, с частыми дождями и туманами. В течение года проходит много циклонов, вызывающих усиление ветра, пасмурную с осадками погоду.</w:t>
      </w:r>
    </w:p>
    <w:p>
      <w:pPr>
        <w:shd w:val="clear"/>
        <w:rPr>
          <w:sz w:val="24"/>
          <w:szCs w:val="24"/>
          <w:highlight w:val="none"/>
        </w:rPr>
      </w:pPr>
      <w:r>
        <w:rPr>
          <w:sz w:val="24"/>
          <w:szCs w:val="24"/>
          <w:highlight w:val="none"/>
        </w:rPr>
        <w:t>Самым тёплым месяцем является август со среднемесячной температурой +14,4°C. Абсолютный температурный максимум +37ºС был зафиксирован в августе 1955 года.</w:t>
      </w:r>
    </w:p>
    <w:p>
      <w:pPr>
        <w:shd w:val="clear"/>
        <w:rPr>
          <w:sz w:val="24"/>
          <w:szCs w:val="24"/>
          <w:highlight w:val="none"/>
        </w:rPr>
      </w:pPr>
      <w:r>
        <w:rPr>
          <w:sz w:val="24"/>
          <w:szCs w:val="24"/>
          <w:highlight w:val="none"/>
        </w:rPr>
        <w:t>Средняя температура самого холодного месяца – января -20,2°С. Абсолютный температурный минимум -48°С.</w:t>
      </w:r>
    </w:p>
    <w:p>
      <w:pPr>
        <w:shd w:val="clear"/>
        <w:rPr>
          <w:sz w:val="24"/>
          <w:szCs w:val="24"/>
          <w:highlight w:val="none"/>
        </w:rPr>
      </w:pPr>
      <w:r>
        <w:rPr>
          <w:sz w:val="24"/>
          <w:szCs w:val="24"/>
          <w:highlight w:val="none"/>
        </w:rPr>
        <w:t>Среднегодовое количество осадков − 613 мм (по данным метеостанции пгт Ноглики). В зимние месяцы выпадает лишь около 80-90 мм осадков. Минимальное их количество приходится на февраль. Снежный покров образуется в первой декаде ноября и держится в течение примерно 190 дней до середины мая. Продолжительность безморозного периода – 179 дней. Глубина промерзания грунта около 2 м.</w:t>
      </w:r>
    </w:p>
    <w:p>
      <w:pPr>
        <w:shd w:val="clear"/>
        <w:rPr>
          <w:sz w:val="24"/>
          <w:szCs w:val="24"/>
          <w:highlight w:val="none"/>
        </w:rPr>
      </w:pPr>
      <w:r>
        <w:rPr>
          <w:sz w:val="24"/>
          <w:szCs w:val="24"/>
          <w:highlight w:val="none"/>
        </w:rPr>
        <w:t>Зимой муссоны вызывают сильные метели и обильные снегопады. Максимальная продолжительность метелей достигает 3-4 суток. Высота снежных заносов может достигать 1 м. Характерным является большое количество дней с туманом. Количество их увеличивается от апреля к маю, максимум их повторений приходится на июнь-июль. За год отмечается в среднем 66 дней с туманами. Прохождение циклона вызывает потепление зимой и похолодание летом.</w:t>
      </w:r>
    </w:p>
    <w:p>
      <w:pPr>
        <w:shd w:val="clear"/>
        <w:rPr>
          <w:sz w:val="24"/>
          <w:szCs w:val="24"/>
          <w:highlight w:val="none"/>
        </w:rPr>
      </w:pPr>
      <w:r>
        <w:rPr>
          <w:sz w:val="24"/>
          <w:szCs w:val="24"/>
          <w:highlight w:val="none"/>
        </w:rPr>
        <w:t xml:space="preserve">Ветровой режим характеризуется преобладанием в зимний период ветров западных направлений; превалирующим направлением ветра в холодный период является юго-западный ветер. В летний период доминируют ветры юго-западного, юго-восточного и северо-восточного направлений. </w:t>
      </w:r>
    </w:p>
    <w:p>
      <w:pPr>
        <w:shd w:val="clear"/>
        <w:rPr>
          <w:sz w:val="24"/>
          <w:szCs w:val="24"/>
          <w:highlight w:val="none"/>
        </w:rPr>
      </w:pPr>
      <w:r>
        <w:rPr>
          <w:sz w:val="24"/>
          <w:szCs w:val="24"/>
          <w:highlight w:val="none"/>
        </w:rPr>
        <w:t>Район неблагоприятен для развития сельскохозяйственной деятельности. Отрицательно сказывается на возделывании сельскохозяйственных культур позднее окончание и ранее наступление заморозков. Заморозки могут продолжаться иногда до июля и наступать в августе. Нормативная глубина промерзания глинистых и суглинистых грунтов – 193 см. Средняя месячная относительная влажность воздуха наиболее холодного месяца – 75 %; наиболее жаркого месяца – 85 %.</w:t>
      </w:r>
    </w:p>
    <w:p>
      <w:pPr>
        <w:shd w:val="clear"/>
        <w:rPr>
          <w:sz w:val="24"/>
          <w:szCs w:val="24"/>
          <w:highlight w:val="none"/>
        </w:rPr>
      </w:pPr>
      <w:r>
        <w:rPr>
          <w:sz w:val="24"/>
          <w:szCs w:val="24"/>
          <w:highlight w:val="none"/>
        </w:rPr>
        <w:t>Территория МО «Городской округ Ногликский» согласно СП 131.13330.2020 «Строительная климатология. Актуализированная редакция СНиП 23-01-99*» расположена в I климатическом районе, подрайонах IГ и IД. Северная часть городского округа относится к климатическому подрайону IГ. Климатический подрайон IД охватывает центр и юг МО.</w:t>
      </w:r>
    </w:p>
    <w:p>
      <w:pPr>
        <w:shd w:val="clear"/>
        <w:rPr>
          <w:sz w:val="24"/>
          <w:szCs w:val="24"/>
          <w:highlight w:val="none"/>
        </w:rPr>
      </w:pPr>
      <w:r>
        <w:rPr>
          <w:sz w:val="24"/>
          <w:szCs w:val="24"/>
          <w:highlight w:val="none"/>
        </w:rPr>
        <w:t>По условиям влагообеспеченности территория относится к влажной зоне.</w:t>
      </w:r>
    </w:p>
    <w:p>
      <w:pPr>
        <w:widowControl w:val="0"/>
        <w:shd w:val="clear"/>
        <w:kinsoku w:val="0"/>
        <w:overflowPunct w:val="0"/>
        <w:snapToGrid w:val="0"/>
        <w:spacing w:line="276" w:lineRule="auto"/>
        <w:ind w:firstLine="0"/>
        <w:rPr>
          <w:rFonts w:eastAsia="Calibri"/>
          <w:iCs/>
          <w:sz w:val="24"/>
          <w:szCs w:val="24"/>
          <w:highlight w:val="none"/>
        </w:rPr>
      </w:pPr>
    </w:p>
    <w:p>
      <w:pPr>
        <w:pStyle w:val="2"/>
        <w:shd w:val="clear"/>
        <w:rPr>
          <w:rFonts w:ascii="Times New Roman" w:hAnsi="Times New Roman" w:cs="Times New Roman"/>
          <w:b/>
          <w:bCs/>
          <w:color w:val="auto"/>
          <w:sz w:val="24"/>
          <w:szCs w:val="24"/>
          <w:highlight w:val="none"/>
        </w:rPr>
      </w:pPr>
      <w:bookmarkStart w:id="8" w:name="_Toc128587657"/>
      <w:bookmarkStart w:id="9" w:name="_Toc143612298"/>
      <w:bookmarkStart w:id="10" w:name="_Toc128522428"/>
      <w:r>
        <w:rPr>
          <w:rFonts w:ascii="Times New Roman" w:hAnsi="Times New Roman" w:cs="Times New Roman"/>
          <w:b/>
          <w:bCs/>
          <w:color w:val="auto"/>
          <w:sz w:val="24"/>
          <w:szCs w:val="24"/>
          <w:highlight w:val="none"/>
        </w:rPr>
        <w:t>2.1.2 Геоморфологические условия и рельеф</w:t>
      </w:r>
      <w:bookmarkEnd w:id="8"/>
      <w:bookmarkEnd w:id="9"/>
      <w:bookmarkEnd w:id="10"/>
    </w:p>
    <w:p>
      <w:pPr>
        <w:shd w:val="clear"/>
        <w:rPr>
          <w:highlight w:val="none"/>
        </w:rPr>
      </w:pPr>
    </w:p>
    <w:p>
      <w:pPr>
        <w:shd w:val="clear"/>
        <w:spacing w:line="276" w:lineRule="auto"/>
        <w:rPr>
          <w:rFonts w:eastAsia="Calibri"/>
          <w:kern w:val="2"/>
          <w:sz w:val="24"/>
          <w:szCs w:val="24"/>
          <w:highlight w:val="none"/>
        </w:rPr>
      </w:pPr>
      <w:r>
        <w:rPr>
          <w:rFonts w:eastAsia="Calibri"/>
          <w:kern w:val="2"/>
          <w:sz w:val="24"/>
          <w:szCs w:val="24"/>
          <w:highlight w:val="none"/>
        </w:rPr>
        <w:t>В центральной части Сахалина преобладают горные ландшафты, которые представлены хребтами средней высоты (500-800 м), вытянутыми преимущественно в меридиональном направлении. Западно-Сахалинские и Восточно-Сахалинские горы в тектоническом отношении соответствуют двум антиклинориям. Западно-Сахалинские горы представляют собой гряду параллельных горных хребтов, разделенных продольными речными долинами, которую замыкает Южно-Камышовый хребет. Восточно-Сахалинские горы более высоки, более расчленены и отличаются сейсмической активностью (высшая точка – гора Лопатина (1609 м), что также является максимальной высотой острова). Между этими хребтами на высоте 150 м пролегает Тымь-Поронайская долина, отвечающая крупнейшему синклинорию Сахалина, строение которого осложнено разломами.</w:t>
      </w:r>
    </w:p>
    <w:p>
      <w:pPr>
        <w:shd w:val="clear"/>
        <w:spacing w:line="276" w:lineRule="auto"/>
        <w:rPr>
          <w:rFonts w:eastAsia="Calibri"/>
          <w:kern w:val="2"/>
          <w:sz w:val="24"/>
          <w:szCs w:val="24"/>
          <w:highlight w:val="none"/>
        </w:rPr>
      </w:pPr>
      <w:r>
        <w:rPr>
          <w:rFonts w:eastAsia="Calibri"/>
          <w:kern w:val="2"/>
          <w:sz w:val="24"/>
          <w:szCs w:val="24"/>
          <w:highlight w:val="none"/>
        </w:rPr>
        <w:t>Рассматриваемая в проекте территория принадлежит Японско-Сахалинской геоморфологической стране. Северная часть территории располагается в пределах Северо-Сахалинской денудационной равнины, характеризующейся полого-увалистым, на отдельных участках равнинным рельефом. Абсолютные отметки поверхности изменяются в пределах 80-180 м. Долины рек, протекающих здесь, широкие, террасированные. Пониженные плоские участки заболочены. В пределах равнины выделяются холмисто-увалистые гряды (Хребты Даги, Перимпала), отличающиеся более высокими абсолютными отметками поверхности (до 200-350 м), и уклонами поверхности более 20 %. Долины рек, расчленяющие гряды узкие, каньонообразные.</w:t>
      </w:r>
    </w:p>
    <w:p>
      <w:pPr>
        <w:shd w:val="clear"/>
        <w:spacing w:line="276" w:lineRule="auto"/>
        <w:rPr>
          <w:rFonts w:eastAsia="Calibri"/>
          <w:kern w:val="2"/>
          <w:sz w:val="24"/>
          <w:szCs w:val="24"/>
          <w:highlight w:val="none"/>
        </w:rPr>
      </w:pPr>
      <w:r>
        <w:rPr>
          <w:rFonts w:eastAsia="Calibri"/>
          <w:kern w:val="2"/>
          <w:sz w:val="24"/>
          <w:szCs w:val="24"/>
          <w:highlight w:val="none"/>
        </w:rPr>
        <w:t>Вдоль морского побережья она испытывает прогибание и характеризуется плоским аккумулятивным рельефом. Здесь выделяются низкие и высокие морские террасы. Низкие морские террасы, с абсолютными отметками от 1 до 20 м, характеризуются плоской, сильно заболоченной поверхностью, изрезанной многочисленными озёрами. Высокие морские террасы с абсолютными отметками 20-80м имеют полого-волнистый рельеф.</w:t>
      </w:r>
    </w:p>
    <w:p>
      <w:pPr>
        <w:shd w:val="clear"/>
        <w:spacing w:line="276" w:lineRule="auto"/>
        <w:rPr>
          <w:rFonts w:eastAsia="Calibri"/>
          <w:kern w:val="2"/>
          <w:sz w:val="24"/>
          <w:szCs w:val="24"/>
          <w:highlight w:val="none"/>
        </w:rPr>
      </w:pPr>
      <w:r>
        <w:rPr>
          <w:rFonts w:eastAsia="Calibri"/>
          <w:kern w:val="2"/>
          <w:sz w:val="24"/>
          <w:szCs w:val="24"/>
          <w:highlight w:val="none"/>
        </w:rPr>
        <w:t>Морские террасы расчленены долинами многочисленных рек, где выделяется пойма, надпойменные террасы отсутствуют.</w:t>
      </w:r>
    </w:p>
    <w:p>
      <w:pPr>
        <w:shd w:val="clear"/>
        <w:spacing w:line="276" w:lineRule="auto"/>
        <w:rPr>
          <w:rFonts w:eastAsia="Calibri"/>
          <w:kern w:val="2"/>
          <w:sz w:val="24"/>
          <w:szCs w:val="24"/>
          <w:highlight w:val="none"/>
        </w:rPr>
      </w:pPr>
      <w:r>
        <w:rPr>
          <w:rFonts w:eastAsia="Calibri"/>
          <w:kern w:val="2"/>
          <w:sz w:val="24"/>
          <w:szCs w:val="24"/>
          <w:highlight w:val="none"/>
        </w:rPr>
        <w:t>Южная часть территории располагается в горном районе Восточно-Сахалинских гор. Здесь выделяются Набильский хребет, являющийся западной границей, Лунский хребет, хребет Уаза. Здесь развит сильно расчленённый рельеф – гребневидные водоразделы и крутые обрывистые склоны, долины рек каньонообразные. Абсолютные отметки поверхности составляют 300-1000м.</w:t>
      </w:r>
    </w:p>
    <w:p>
      <w:pPr>
        <w:shd w:val="clear"/>
        <w:spacing w:line="276" w:lineRule="auto"/>
        <w:rPr>
          <w:rFonts w:eastAsia="Calibri"/>
          <w:kern w:val="2"/>
          <w:sz w:val="24"/>
          <w:szCs w:val="24"/>
          <w:highlight w:val="none"/>
        </w:rPr>
      </w:pPr>
      <w:r>
        <w:rPr>
          <w:rFonts w:eastAsia="Calibri"/>
          <w:kern w:val="2"/>
          <w:sz w:val="24"/>
          <w:szCs w:val="24"/>
          <w:highlight w:val="none"/>
        </w:rPr>
        <w:t>Среди горного рельефа выделяются Набильская и Луньско-Венгерийская межгорные депрессии, представляющие собой полого-волнистые, холмистые и холмисто-увалистые наклонные равнины, обрамляющие горные сооружения. Абсолютные отметки их не превышают 250 м, относительные превышения колеблются от нескольких метров до 50-100 м.</w:t>
      </w:r>
    </w:p>
    <w:p>
      <w:pPr>
        <w:shd w:val="clear"/>
        <w:spacing w:line="276" w:lineRule="auto"/>
        <w:rPr>
          <w:rFonts w:eastAsia="Calibri"/>
          <w:kern w:val="2"/>
          <w:sz w:val="24"/>
          <w:szCs w:val="24"/>
          <w:highlight w:val="none"/>
        </w:rPr>
      </w:pPr>
      <w:r>
        <w:rPr>
          <w:rFonts w:eastAsia="Calibri"/>
          <w:kern w:val="2"/>
          <w:sz w:val="24"/>
          <w:szCs w:val="24"/>
          <w:highlight w:val="none"/>
        </w:rPr>
        <w:t>В местах сочленения депрессий с горными сооружениями развиты предгорные шлейфы. В прибрежных частях депрессий выделяются низкие и высокие морские террасы. Низкие морские террасы (высотой до 20 м) заболочены и характеризуются плоским рельефом, высокие морские террасы (до 80 м) – холмисто-увалистым рельефом.</w:t>
      </w:r>
    </w:p>
    <w:p>
      <w:pPr>
        <w:shd w:val="clear"/>
        <w:spacing w:line="276" w:lineRule="auto"/>
        <w:rPr>
          <w:rFonts w:eastAsia="Calibri"/>
          <w:kern w:val="2"/>
          <w:sz w:val="24"/>
          <w:szCs w:val="24"/>
          <w:highlight w:val="none"/>
        </w:rPr>
      </w:pPr>
      <w:r>
        <w:rPr>
          <w:rFonts w:eastAsia="Calibri"/>
          <w:kern w:val="2"/>
          <w:sz w:val="24"/>
          <w:szCs w:val="24"/>
          <w:highlight w:val="none"/>
        </w:rPr>
        <w:t>Поверхность межгорных депрессий расчленена долинами рек и ручьёв, долины рек нередко террасированы.</w:t>
      </w:r>
    </w:p>
    <w:p>
      <w:pPr>
        <w:shd w:val="clear"/>
        <w:spacing w:line="276" w:lineRule="auto"/>
        <w:rPr>
          <w:rFonts w:eastAsia="Calibri"/>
          <w:kern w:val="2"/>
          <w:sz w:val="24"/>
          <w:szCs w:val="24"/>
          <w:highlight w:val="none"/>
        </w:rPr>
      </w:pPr>
      <w:r>
        <w:rPr>
          <w:rFonts w:eastAsia="Calibri"/>
          <w:kern w:val="2"/>
          <w:sz w:val="24"/>
          <w:szCs w:val="24"/>
          <w:highlight w:val="none"/>
        </w:rPr>
        <w:t>Исследуемая площадка в геоморфологическом отношении занимает участок аккумулятивной речной террасы высотой 20-22 м и характеризуется равнинной формой рельефа. Общий уклон поверхности в северо-восточном направлении в сторону русла р. Тымь. Территория застроена, естественный рельеф поверхности изменен при застройке, устройстве дорог, прокладке коммуникаций.</w:t>
      </w:r>
    </w:p>
    <w:p>
      <w:pPr>
        <w:shd w:val="clear"/>
        <w:spacing w:line="276" w:lineRule="auto"/>
        <w:ind w:firstLine="567"/>
        <w:contextualSpacing/>
        <w:rPr>
          <w:rFonts w:eastAsia="Calibri"/>
          <w:iCs/>
          <w:sz w:val="24"/>
          <w:szCs w:val="24"/>
          <w:highlight w:val="none"/>
        </w:rPr>
      </w:pPr>
    </w:p>
    <w:p>
      <w:pPr>
        <w:pStyle w:val="2"/>
        <w:shd w:val="clear"/>
        <w:rPr>
          <w:rFonts w:ascii="Times New Roman" w:hAnsi="Times New Roman" w:cs="Times New Roman"/>
          <w:b/>
          <w:bCs/>
          <w:color w:val="auto"/>
          <w:sz w:val="24"/>
          <w:szCs w:val="24"/>
          <w:highlight w:val="none"/>
        </w:rPr>
      </w:pPr>
      <w:bookmarkStart w:id="11" w:name="_Toc128587658"/>
      <w:bookmarkStart w:id="12" w:name="_Toc143612299"/>
      <w:bookmarkStart w:id="13" w:name="_Toc128522429"/>
      <w:r>
        <w:rPr>
          <w:rFonts w:ascii="Times New Roman" w:hAnsi="Times New Roman" w:cs="Times New Roman"/>
          <w:b/>
          <w:bCs/>
          <w:color w:val="auto"/>
          <w:sz w:val="24"/>
          <w:szCs w:val="24"/>
          <w:highlight w:val="none"/>
        </w:rPr>
        <w:t>2.1.3 Геологические условия</w:t>
      </w:r>
      <w:bookmarkEnd w:id="11"/>
      <w:bookmarkEnd w:id="12"/>
      <w:bookmarkEnd w:id="13"/>
    </w:p>
    <w:p>
      <w:pPr>
        <w:shd w:val="clear"/>
        <w:spacing w:line="276" w:lineRule="auto"/>
        <w:rPr>
          <w:rFonts w:eastAsia="Calibri"/>
          <w:kern w:val="2"/>
          <w:sz w:val="24"/>
          <w:szCs w:val="24"/>
          <w:highlight w:val="none"/>
        </w:rPr>
      </w:pPr>
      <w:r>
        <w:rPr>
          <w:rFonts w:eastAsia="Calibri"/>
          <w:kern w:val="2"/>
          <w:sz w:val="24"/>
          <w:szCs w:val="24"/>
          <w:highlight w:val="none"/>
        </w:rPr>
        <w:t>В геологическом строении района принимают участие коренные породы палеозойского, мелового, палеогенового неогенового и четвертичного возраста.</w:t>
      </w:r>
    </w:p>
    <w:p>
      <w:pPr>
        <w:shd w:val="clear"/>
        <w:spacing w:line="276" w:lineRule="auto"/>
        <w:rPr>
          <w:rFonts w:eastAsia="Calibri"/>
          <w:kern w:val="2"/>
          <w:sz w:val="24"/>
          <w:szCs w:val="24"/>
          <w:highlight w:val="none"/>
        </w:rPr>
      </w:pPr>
      <w:r>
        <w:rPr>
          <w:rFonts w:eastAsia="Calibri"/>
          <w:kern w:val="2"/>
          <w:sz w:val="24"/>
          <w:szCs w:val="24"/>
          <w:highlight w:val="none"/>
        </w:rPr>
        <w:t>Рассматриваемая в проекте территория принадлежит кайнозою. Четвертичная система. Терригенно-осадочные образования.</w:t>
      </w:r>
    </w:p>
    <w:p>
      <w:pPr>
        <w:shd w:val="clear"/>
        <w:spacing w:line="276" w:lineRule="auto"/>
        <w:rPr>
          <w:rFonts w:eastAsia="Calibri"/>
          <w:kern w:val="2"/>
          <w:sz w:val="24"/>
          <w:szCs w:val="24"/>
          <w:highlight w:val="none"/>
        </w:rPr>
      </w:pPr>
      <w:r>
        <w:rPr>
          <w:rFonts w:eastAsia="Calibri"/>
          <w:kern w:val="2"/>
          <w:sz w:val="24"/>
          <w:szCs w:val="24"/>
          <w:highlight w:val="none"/>
        </w:rPr>
        <w:t>Геологический разрез территории слагают породы неогенового и четвертичного возраста песчано-глинистого состава.</w:t>
      </w:r>
    </w:p>
    <w:p>
      <w:pPr>
        <w:shd w:val="clear"/>
        <w:spacing w:line="276" w:lineRule="auto"/>
        <w:rPr>
          <w:rFonts w:eastAsia="Calibri"/>
          <w:kern w:val="2"/>
          <w:sz w:val="24"/>
          <w:szCs w:val="24"/>
          <w:highlight w:val="none"/>
        </w:rPr>
      </w:pPr>
      <w:r>
        <w:rPr>
          <w:rFonts w:eastAsia="Calibri"/>
          <w:kern w:val="2"/>
          <w:sz w:val="24"/>
          <w:szCs w:val="24"/>
          <w:highlight w:val="none"/>
        </w:rPr>
        <w:t>Коренные породы неогена представлены двумя свитами – нутовской (N2nt) иокобыкайской (N1ok). Нутовская свита (молассовая формация) представлена мощной (1000 - 4500 м) регрессивной толщей практически недислоцированных, преимущественно морских и прибрежно-морских, частично континентальных осадков. Верхняя часть нутовской свиты в пределах Северо-Сахалинской равнины сложена песками с резко подчинёнными прослоями глин, алевролитов, слабосцементированных песчаников, алевролитов, с линзами галечников, гравелитов, местами с редкими пластами лигнитов и бурых углей. Для разрезов восточного побережья наиболее характерны тонко- и мелкозернистые, неоднородные пески. Пески кварцево-полевошпатовые, с небольшим включением количества гравия и гальки и незначительным содержанием глинистых и пылеватых частиц, слабослюдистые, иногда косослоистые. Породы нутовской свиты в районе проектирования развиты практически повсеместно.</w:t>
      </w:r>
    </w:p>
    <w:p>
      <w:pPr>
        <w:shd w:val="clear"/>
        <w:spacing w:line="276" w:lineRule="auto"/>
        <w:rPr>
          <w:rFonts w:eastAsia="Calibri"/>
          <w:kern w:val="2"/>
          <w:sz w:val="24"/>
          <w:szCs w:val="24"/>
          <w:highlight w:val="none"/>
        </w:rPr>
      </w:pPr>
      <w:r>
        <w:rPr>
          <w:rFonts w:eastAsia="Calibri"/>
          <w:kern w:val="2"/>
          <w:sz w:val="24"/>
          <w:szCs w:val="24"/>
          <w:highlight w:val="none"/>
        </w:rPr>
        <w:t xml:space="preserve">Окобыкайская свита (флишоидная формация) представлена толщей ритмично флишеподобно переслаивающихся глин, песков, алевролитов, аргиллитов и слабосцементированных песчаников мощностью 2000 - 3500 м. Ритмы обычно двухкомпонентные. Мощность слоёв от 0,5 до 30 м. На территории изысканий породы окобыкайской свиты развиты преимущественно на водораздельных участках малых ручьев впадающих в р. Тымь. Здесь в разрезе резко преобладают глинистые грунты. </w:t>
      </w:r>
    </w:p>
    <w:p>
      <w:pPr>
        <w:shd w:val="clear"/>
        <w:spacing w:line="276" w:lineRule="auto"/>
        <w:rPr>
          <w:rFonts w:eastAsia="Calibri"/>
          <w:kern w:val="2"/>
          <w:sz w:val="24"/>
          <w:szCs w:val="24"/>
          <w:highlight w:val="none"/>
        </w:rPr>
      </w:pPr>
      <w:r>
        <w:rPr>
          <w:rFonts w:eastAsia="Calibri"/>
          <w:kern w:val="2"/>
          <w:sz w:val="24"/>
          <w:szCs w:val="24"/>
          <w:highlight w:val="none"/>
        </w:rPr>
        <w:t>По гранулометрическому составу среди глинистых грунтов преобладают суглинки с высоким содержанием песчаной фракции. Глины нередко аргиллитоподобные, оскольчатые, слоистые или тонкослоистые, ненабухаемые и непросадочные.</w:t>
      </w:r>
    </w:p>
    <w:p>
      <w:pPr>
        <w:shd w:val="clear"/>
        <w:spacing w:line="276" w:lineRule="auto"/>
        <w:rPr>
          <w:rFonts w:eastAsia="Calibri"/>
          <w:kern w:val="2"/>
          <w:sz w:val="24"/>
          <w:szCs w:val="24"/>
          <w:highlight w:val="none"/>
        </w:rPr>
      </w:pPr>
      <w:r>
        <w:rPr>
          <w:rFonts w:eastAsia="Calibri"/>
          <w:kern w:val="2"/>
          <w:sz w:val="24"/>
          <w:szCs w:val="24"/>
          <w:highlight w:val="none"/>
        </w:rPr>
        <w:t>Пески комплекса по составу неоднородные, со значительным содержанием пылеватой фракции.</w:t>
      </w:r>
    </w:p>
    <w:p>
      <w:pPr>
        <w:shd w:val="clear"/>
        <w:spacing w:line="276" w:lineRule="auto"/>
        <w:rPr>
          <w:rFonts w:eastAsia="Calibri"/>
          <w:kern w:val="2"/>
          <w:sz w:val="24"/>
          <w:szCs w:val="24"/>
          <w:highlight w:val="none"/>
        </w:rPr>
      </w:pPr>
      <w:r>
        <w:rPr>
          <w:rFonts w:eastAsia="Calibri"/>
          <w:kern w:val="2"/>
          <w:sz w:val="24"/>
          <w:szCs w:val="24"/>
          <w:highlight w:val="none"/>
        </w:rPr>
        <w:t>Четвертичные осадки генетически представлены элювиальными и делювиальными, аллювиально-морскими, аллювиальными, органическими и техногенными отложениями.</w:t>
      </w:r>
    </w:p>
    <w:p>
      <w:pPr>
        <w:shd w:val="clear"/>
        <w:ind w:firstLine="567"/>
        <w:rPr>
          <w:szCs w:val="28"/>
          <w:highlight w:val="none"/>
        </w:rPr>
      </w:pPr>
    </w:p>
    <w:p>
      <w:pPr>
        <w:pStyle w:val="2"/>
        <w:shd w:val="clear"/>
        <w:rPr>
          <w:rFonts w:ascii="Times New Roman" w:hAnsi="Times New Roman" w:cs="Times New Roman"/>
          <w:b/>
          <w:bCs/>
          <w:sz w:val="24"/>
          <w:szCs w:val="24"/>
          <w:highlight w:val="none"/>
        </w:rPr>
      </w:pPr>
      <w:bookmarkStart w:id="14" w:name="_Toc91155431"/>
      <w:bookmarkStart w:id="15" w:name="_Toc89682997"/>
      <w:bookmarkStart w:id="16" w:name="_Toc128522430"/>
      <w:bookmarkStart w:id="17" w:name="_Toc128587659"/>
      <w:bookmarkStart w:id="18" w:name="_Toc143612300"/>
      <w:r>
        <w:rPr>
          <w:rFonts w:ascii="Times New Roman" w:hAnsi="Times New Roman" w:cs="Times New Roman"/>
          <w:b/>
          <w:bCs/>
          <w:color w:val="auto"/>
          <w:sz w:val="24"/>
          <w:szCs w:val="24"/>
          <w:highlight w:val="none"/>
        </w:rPr>
        <w:t>2.1.4 Гидрологическая характеристика</w:t>
      </w:r>
      <w:bookmarkEnd w:id="14"/>
      <w:bookmarkEnd w:id="15"/>
      <w:bookmarkEnd w:id="16"/>
      <w:bookmarkEnd w:id="17"/>
      <w:bookmarkEnd w:id="18"/>
    </w:p>
    <w:p>
      <w:pPr>
        <w:shd w:val="clear"/>
        <w:spacing w:line="276" w:lineRule="auto"/>
        <w:rPr>
          <w:rFonts w:eastAsia="Calibri"/>
          <w:kern w:val="2"/>
          <w:sz w:val="24"/>
          <w:szCs w:val="24"/>
          <w:highlight w:val="none"/>
        </w:rPr>
      </w:pPr>
      <w:r>
        <w:rPr>
          <w:rFonts w:eastAsia="Calibri"/>
          <w:kern w:val="2"/>
          <w:sz w:val="24"/>
          <w:szCs w:val="24"/>
          <w:highlight w:val="none"/>
        </w:rPr>
        <w:t>Сахалин богат поверхностными водами. Гидрологический режим острова характеризуется выпадением большого количества осадков и малой испаряемостью. Эти условия определяют обильный поверхностный сток.</w:t>
      </w:r>
    </w:p>
    <w:p>
      <w:pPr>
        <w:shd w:val="clear"/>
        <w:spacing w:line="276" w:lineRule="auto"/>
        <w:rPr>
          <w:rFonts w:eastAsia="Calibri"/>
          <w:kern w:val="2"/>
          <w:sz w:val="24"/>
          <w:szCs w:val="24"/>
          <w:highlight w:val="none"/>
        </w:rPr>
      </w:pPr>
      <w:r>
        <w:rPr>
          <w:rFonts w:eastAsia="Calibri"/>
          <w:kern w:val="2"/>
          <w:sz w:val="24"/>
          <w:szCs w:val="24"/>
          <w:highlight w:val="none"/>
        </w:rPr>
        <w:t>По территории проектирования протекает безымянный ручей, впадающий в р. Имчин, протекающую в 300 м.</w:t>
      </w:r>
    </w:p>
    <w:p>
      <w:pPr>
        <w:shd w:val="clear"/>
        <w:spacing w:line="276" w:lineRule="auto"/>
        <w:rPr>
          <w:rFonts w:eastAsia="Calibri"/>
          <w:kern w:val="2"/>
          <w:sz w:val="24"/>
          <w:szCs w:val="24"/>
          <w:highlight w:val="none"/>
        </w:rPr>
      </w:pPr>
      <w:r>
        <w:rPr>
          <w:rFonts w:eastAsia="Calibri"/>
          <w:kern w:val="2"/>
          <w:sz w:val="24"/>
          <w:szCs w:val="24"/>
          <w:highlight w:val="none"/>
        </w:rPr>
        <w:t xml:space="preserve">Река Имчин – река на востоке острова </w:t>
      </w:r>
      <w:r>
        <w:rPr>
          <w:highlight w:val="none"/>
        </w:rPr>
        <w:fldChar w:fldCharType="begin"/>
      </w:r>
      <w:r>
        <w:rPr>
          <w:highlight w:val="none"/>
        </w:rPr>
        <w:instrText xml:space="preserve"> HYPERLINK "https://ru.wikipedia.org/wiki/%D0%A1%D0%B0%D1%85%D0%B0%D0%BB%D0%B8%D0%BD" \o "Сахалин" </w:instrText>
      </w:r>
      <w:r>
        <w:rPr>
          <w:highlight w:val="none"/>
        </w:rPr>
        <w:fldChar w:fldCharType="separate"/>
      </w:r>
      <w:r>
        <w:rPr>
          <w:rFonts w:eastAsia="Calibri"/>
          <w:kern w:val="2"/>
          <w:sz w:val="24"/>
          <w:szCs w:val="24"/>
          <w:highlight w:val="none"/>
        </w:rPr>
        <w:t>Сахалин</w:t>
      </w:r>
      <w:r>
        <w:rPr>
          <w:rFonts w:eastAsia="Calibri"/>
          <w:kern w:val="2"/>
          <w:sz w:val="24"/>
          <w:szCs w:val="24"/>
          <w:highlight w:val="none"/>
        </w:rPr>
        <w:fldChar w:fldCharType="end"/>
      </w:r>
      <w:r>
        <w:rPr>
          <w:rFonts w:eastAsia="Calibri"/>
          <w:kern w:val="2"/>
          <w:sz w:val="24"/>
          <w:szCs w:val="24"/>
          <w:highlight w:val="none"/>
        </w:rPr>
        <w:t xml:space="preserve">. Протекает по территории </w:t>
      </w:r>
      <w:r>
        <w:rPr>
          <w:highlight w:val="none"/>
        </w:rPr>
        <w:fldChar w:fldCharType="begin"/>
      </w:r>
      <w:r>
        <w:rPr>
          <w:highlight w:val="none"/>
        </w:rPr>
        <w:instrText xml:space="preserve"> HYPERLINK "https://ru.wikipedia.org/wiki/%D0%93%D0%BE%D1%80%D0%BE%D0%B4%D1%81%D0%BA%D0%BE%D0%B9_%D0%BE%D0%BA%D1%80%D1%83%D0%B3_%D0%9D%D0%BE%D0%B3%D0%BB%D0%B8%D0%BA%D1%81%D0%BA%D0%B8%D0%B9" \o "Городской округ Ногликский" </w:instrText>
      </w:r>
      <w:r>
        <w:rPr>
          <w:highlight w:val="none"/>
        </w:rPr>
        <w:fldChar w:fldCharType="separate"/>
      </w:r>
      <w:r>
        <w:rPr>
          <w:rFonts w:eastAsia="Calibri"/>
          <w:kern w:val="2"/>
          <w:sz w:val="24"/>
          <w:szCs w:val="24"/>
          <w:highlight w:val="none"/>
        </w:rPr>
        <w:t>Ногликского</w:t>
      </w:r>
      <w:r>
        <w:rPr>
          <w:rFonts w:eastAsia="Calibri"/>
          <w:kern w:val="2"/>
          <w:sz w:val="24"/>
          <w:szCs w:val="24"/>
          <w:highlight w:val="none"/>
        </w:rPr>
        <w:fldChar w:fldCharType="end"/>
      </w:r>
      <w:r>
        <w:rPr>
          <w:rFonts w:eastAsia="Calibri"/>
          <w:kern w:val="2"/>
          <w:sz w:val="24"/>
          <w:szCs w:val="24"/>
          <w:highlight w:val="none"/>
        </w:rPr>
        <w:t xml:space="preserve"> городского округа </w:t>
      </w:r>
      <w:r>
        <w:rPr>
          <w:highlight w:val="none"/>
        </w:rPr>
        <w:fldChar w:fldCharType="begin"/>
      </w:r>
      <w:r>
        <w:rPr>
          <w:highlight w:val="none"/>
        </w:rPr>
        <w:instrText xml:space="preserve"> HYPERLINK "https://ru.wikipedia.org/wiki/%D0%A1%D0%B0%D1%85%D0%B0%D0%BB%D0%B8%D0%BD%D1%81%D0%BA%D0%B0%D1%8F_%D0%BE%D0%B1%D0%BB%D0%B0%D1%81%D1%82%D1%8C" \o "Сахалинская область" </w:instrText>
      </w:r>
      <w:r>
        <w:rPr>
          <w:highlight w:val="none"/>
        </w:rPr>
        <w:fldChar w:fldCharType="separate"/>
      </w:r>
      <w:r>
        <w:rPr>
          <w:rFonts w:eastAsia="Calibri"/>
          <w:kern w:val="2"/>
          <w:sz w:val="24"/>
          <w:szCs w:val="24"/>
          <w:highlight w:val="none"/>
        </w:rPr>
        <w:t>Сахалинской области</w:t>
      </w:r>
      <w:r>
        <w:rPr>
          <w:rFonts w:eastAsia="Calibri"/>
          <w:kern w:val="2"/>
          <w:sz w:val="24"/>
          <w:szCs w:val="24"/>
          <w:highlight w:val="none"/>
        </w:rPr>
        <w:fldChar w:fldCharType="end"/>
      </w:r>
      <w:r>
        <w:rPr>
          <w:rFonts w:eastAsia="Calibri"/>
          <w:kern w:val="2"/>
          <w:sz w:val="24"/>
          <w:szCs w:val="24"/>
          <w:highlight w:val="none"/>
        </w:rPr>
        <w:t xml:space="preserve">, в низовье в черте посёлка </w:t>
      </w:r>
      <w:r>
        <w:rPr>
          <w:highlight w:val="none"/>
        </w:rPr>
        <w:fldChar w:fldCharType="begin"/>
      </w:r>
      <w:r>
        <w:rPr>
          <w:highlight w:val="none"/>
        </w:rPr>
        <w:instrText xml:space="preserve"> HYPERLINK "https://ru.wikipedia.org/wiki/%D0%9D%D0%BE%D0%B3%D0%BB%D0%B8%D0%BA%D0%B8" \o "Ноглики" </w:instrText>
      </w:r>
      <w:r>
        <w:rPr>
          <w:highlight w:val="none"/>
        </w:rPr>
        <w:fldChar w:fldCharType="separate"/>
      </w:r>
      <w:r>
        <w:rPr>
          <w:rFonts w:eastAsia="Calibri"/>
          <w:kern w:val="2"/>
          <w:sz w:val="24"/>
          <w:szCs w:val="24"/>
          <w:highlight w:val="none"/>
        </w:rPr>
        <w:t>Ноглики</w:t>
      </w:r>
      <w:r>
        <w:rPr>
          <w:rFonts w:eastAsia="Calibri"/>
          <w:kern w:val="2"/>
          <w:sz w:val="24"/>
          <w:szCs w:val="24"/>
          <w:highlight w:val="none"/>
        </w:rPr>
        <w:fldChar w:fldCharType="end"/>
      </w:r>
      <w:r>
        <w:rPr>
          <w:rFonts w:eastAsia="Calibri"/>
          <w:kern w:val="2"/>
          <w:sz w:val="24"/>
          <w:szCs w:val="24"/>
          <w:highlight w:val="none"/>
        </w:rPr>
        <w:t xml:space="preserve">. Длина реки 59 км, площадь </w:t>
      </w:r>
      <w:r>
        <w:rPr>
          <w:highlight w:val="none"/>
        </w:rPr>
        <w:fldChar w:fldCharType="begin"/>
      </w:r>
      <w:r>
        <w:rPr>
          <w:highlight w:val="none"/>
        </w:rPr>
        <w:instrText xml:space="preserve"> HYPERLINK "https://ru.wikipedia.org/wiki/%D0%91%D0%B0%D1%81%D1%81%D0%B5%D0%B9%D0%BD_%D1%80%D0%B5%D0%BA%D0%B8" \o "Бассейн реки" </w:instrText>
      </w:r>
      <w:r>
        <w:rPr>
          <w:highlight w:val="none"/>
        </w:rPr>
        <w:fldChar w:fldCharType="separate"/>
      </w:r>
      <w:r>
        <w:rPr>
          <w:rFonts w:eastAsia="Calibri"/>
          <w:kern w:val="2"/>
          <w:sz w:val="24"/>
          <w:szCs w:val="24"/>
          <w:highlight w:val="none"/>
        </w:rPr>
        <w:t>водосборного бассейна</w:t>
      </w:r>
      <w:r>
        <w:rPr>
          <w:rFonts w:eastAsia="Calibri"/>
          <w:kern w:val="2"/>
          <w:sz w:val="24"/>
          <w:szCs w:val="24"/>
          <w:highlight w:val="none"/>
        </w:rPr>
        <w:fldChar w:fldCharType="end"/>
      </w:r>
      <w:r>
        <w:rPr>
          <w:rFonts w:eastAsia="Calibri"/>
          <w:kern w:val="2"/>
          <w:sz w:val="24"/>
          <w:szCs w:val="24"/>
          <w:highlight w:val="none"/>
        </w:rPr>
        <w:t xml:space="preserve"> 214 км². Берёт исток севернее горы Центральная, протекает в меридиональном направлении до впадения в </w:t>
      </w:r>
      <w:r>
        <w:rPr>
          <w:highlight w:val="none"/>
        </w:rPr>
        <w:fldChar w:fldCharType="begin"/>
      </w:r>
      <w:r>
        <w:rPr>
          <w:highlight w:val="none"/>
        </w:rPr>
        <w:instrText xml:space="preserve"> HYPERLINK "https://ru.wikipedia.org/wiki/%D0%A2%D1%8B%D0%BC%D1%8C" \o "Тымь" </w:instrText>
      </w:r>
      <w:r>
        <w:rPr>
          <w:highlight w:val="none"/>
        </w:rPr>
        <w:fldChar w:fldCharType="separate"/>
      </w:r>
      <w:r>
        <w:rPr>
          <w:rFonts w:eastAsia="Calibri"/>
          <w:kern w:val="2"/>
          <w:sz w:val="24"/>
          <w:szCs w:val="24"/>
          <w:highlight w:val="none"/>
        </w:rPr>
        <w:t>Тымь</w:t>
      </w:r>
      <w:r>
        <w:rPr>
          <w:rFonts w:eastAsia="Calibri"/>
          <w:kern w:val="2"/>
          <w:sz w:val="24"/>
          <w:szCs w:val="24"/>
          <w:highlight w:val="none"/>
        </w:rPr>
        <w:fldChar w:fldCharType="end"/>
      </w:r>
      <w:r>
        <w:rPr>
          <w:rFonts w:eastAsia="Calibri"/>
          <w:kern w:val="2"/>
          <w:sz w:val="24"/>
          <w:szCs w:val="24"/>
          <w:highlight w:val="none"/>
        </w:rPr>
        <w:t xml:space="preserve"> справа.</w:t>
      </w:r>
    </w:p>
    <w:p>
      <w:pPr>
        <w:shd w:val="clear"/>
        <w:spacing w:line="276" w:lineRule="auto"/>
        <w:rPr>
          <w:rFonts w:eastAsia="Calibri"/>
          <w:kern w:val="2"/>
          <w:sz w:val="24"/>
          <w:szCs w:val="24"/>
          <w:highlight w:val="none"/>
        </w:rPr>
      </w:pPr>
      <w:r>
        <w:rPr>
          <w:rFonts w:eastAsia="Calibri"/>
          <w:kern w:val="2"/>
          <w:sz w:val="24"/>
          <w:szCs w:val="24"/>
          <w:highlight w:val="none"/>
        </w:rPr>
        <w:t xml:space="preserve">По данным </w:t>
      </w:r>
      <w:r>
        <w:rPr>
          <w:highlight w:val="none"/>
        </w:rPr>
        <w:fldChar w:fldCharType="begin"/>
      </w:r>
      <w:r>
        <w:rPr>
          <w:highlight w:val="none"/>
        </w:rPr>
        <w:instrText xml:space="preserve"> HYPERLINK "https://ru.wikipedia.org/wiki/%D0%93%D0%BE%D1%81%D1%83%D0%B4%D0%B0%D1%80%D1%81%D1%82%D0%B2%D0%B5%D0%BD%D0%BD%D1%8B%D0%B9_%D0%B2%D0%BE%D0%B4%D0%BD%D1%8B%D0%B9_%D1%80%D0%B5%D0%B5%D1%81%D1%82%D1%80" \o "Государственный водный реестр" </w:instrText>
      </w:r>
      <w:r>
        <w:rPr>
          <w:highlight w:val="none"/>
        </w:rPr>
        <w:fldChar w:fldCharType="separate"/>
      </w:r>
      <w:r>
        <w:rPr>
          <w:rFonts w:eastAsia="Calibri"/>
          <w:kern w:val="2"/>
          <w:sz w:val="24"/>
          <w:szCs w:val="24"/>
          <w:highlight w:val="none"/>
        </w:rPr>
        <w:t>государственного водного реестра России</w:t>
      </w:r>
      <w:r>
        <w:rPr>
          <w:rFonts w:eastAsia="Calibri"/>
          <w:kern w:val="2"/>
          <w:sz w:val="24"/>
          <w:szCs w:val="24"/>
          <w:highlight w:val="none"/>
        </w:rPr>
        <w:fldChar w:fldCharType="end"/>
      </w:r>
      <w:r>
        <w:rPr>
          <w:rFonts w:eastAsia="Calibri"/>
          <w:kern w:val="2"/>
          <w:sz w:val="24"/>
          <w:szCs w:val="24"/>
          <w:highlight w:val="none"/>
        </w:rPr>
        <w:t xml:space="preserve"> относится к </w:t>
      </w:r>
      <w:r>
        <w:rPr>
          <w:highlight w:val="none"/>
        </w:rPr>
        <w:fldChar w:fldCharType="begin"/>
      </w:r>
      <w:r>
        <w:rPr>
          <w:highlight w:val="none"/>
        </w:rPr>
        <w:instrText xml:space="preserve"> HYPERLINK "https://ru.wikipedia.org/wiki/%D0%90%D0%BC%D1%83%D1%80%D1%81%D0%BA%D0%B8%D0%B9_%D0%B1%D0%B0%D1%81%D1%81%D0%B5%D0%B9%D0%BD%D0%BE%D0%B2%D1%8B%D0%B9_%D0%BE%D0%BA%D1%80%D1%83%D0%B3" \o "Амурский бассейновый округ" </w:instrText>
      </w:r>
      <w:r>
        <w:rPr>
          <w:highlight w:val="none"/>
        </w:rPr>
        <w:fldChar w:fldCharType="separate"/>
      </w:r>
      <w:r>
        <w:rPr>
          <w:rFonts w:eastAsia="Calibri"/>
          <w:kern w:val="2"/>
          <w:sz w:val="24"/>
          <w:szCs w:val="24"/>
          <w:highlight w:val="none"/>
        </w:rPr>
        <w:t>Амурскому бассейновому округу</w:t>
      </w:r>
      <w:r>
        <w:rPr>
          <w:rFonts w:eastAsia="Calibri"/>
          <w:kern w:val="2"/>
          <w:sz w:val="24"/>
          <w:szCs w:val="24"/>
          <w:highlight w:val="none"/>
        </w:rPr>
        <w:fldChar w:fldCharType="end"/>
      </w:r>
      <w:r>
        <w:rPr>
          <w:rFonts w:eastAsia="Calibri"/>
          <w:kern w:val="2"/>
          <w:sz w:val="24"/>
          <w:szCs w:val="24"/>
          <w:highlight w:val="none"/>
        </w:rPr>
        <w:t>.</w:t>
      </w:r>
    </w:p>
    <w:p>
      <w:pPr>
        <w:shd w:val="clear"/>
        <w:spacing w:line="276" w:lineRule="auto"/>
        <w:rPr>
          <w:rFonts w:eastAsia="Calibri"/>
          <w:kern w:val="2"/>
          <w:sz w:val="24"/>
          <w:szCs w:val="24"/>
          <w:highlight w:val="none"/>
        </w:rPr>
      </w:pPr>
      <w:r>
        <w:rPr>
          <w:rFonts w:eastAsia="Calibri"/>
          <w:kern w:val="2"/>
          <w:sz w:val="24"/>
          <w:szCs w:val="24"/>
          <w:highlight w:val="none"/>
        </w:rPr>
        <w:t xml:space="preserve">Питание смешанное, с преобладанием снегового. При прохождении </w:t>
      </w:r>
      <w:r>
        <w:rPr>
          <w:highlight w:val="none"/>
        </w:rPr>
        <w:fldChar w:fldCharType="begin"/>
      </w:r>
      <w:r>
        <w:rPr>
          <w:highlight w:val="none"/>
        </w:rPr>
        <w:instrText xml:space="preserve"> HYPERLINK "https://ru.wikipedia.org/wiki/%D0%A2%D0%B0%D0%B9%D1%84%D1%83%D0%BD" \o "Тайфун" </w:instrText>
      </w:r>
      <w:r>
        <w:rPr>
          <w:highlight w:val="none"/>
        </w:rPr>
        <w:fldChar w:fldCharType="separate"/>
      </w:r>
      <w:r>
        <w:rPr>
          <w:rFonts w:eastAsia="Calibri"/>
          <w:kern w:val="2"/>
          <w:sz w:val="24"/>
          <w:szCs w:val="24"/>
          <w:highlight w:val="none"/>
        </w:rPr>
        <w:t>тайфунов</w:t>
      </w:r>
      <w:r>
        <w:rPr>
          <w:rFonts w:eastAsia="Calibri"/>
          <w:kern w:val="2"/>
          <w:sz w:val="24"/>
          <w:szCs w:val="24"/>
          <w:highlight w:val="none"/>
        </w:rPr>
        <w:fldChar w:fldCharType="end"/>
      </w:r>
      <w:r>
        <w:rPr>
          <w:rFonts w:eastAsia="Calibri"/>
          <w:kern w:val="2"/>
          <w:sz w:val="24"/>
          <w:szCs w:val="24"/>
          <w:highlight w:val="none"/>
        </w:rPr>
        <w:t xml:space="preserve"> на реке возможны значительные </w:t>
      </w:r>
      <w:r>
        <w:rPr>
          <w:highlight w:val="none"/>
        </w:rPr>
        <w:fldChar w:fldCharType="begin"/>
      </w:r>
      <w:r>
        <w:rPr>
          <w:highlight w:val="none"/>
        </w:rPr>
        <w:instrText xml:space="preserve"> HYPERLINK "https://ru.wikipedia.org/wiki/%D0%9F%D0%B0%D0%B2%D0%BE%D0%B4%D0%BA%D0%B8" \o "Паводки" </w:instrText>
      </w:r>
      <w:r>
        <w:rPr>
          <w:highlight w:val="none"/>
        </w:rPr>
        <w:fldChar w:fldCharType="separate"/>
      </w:r>
      <w:r>
        <w:rPr>
          <w:rFonts w:eastAsia="Calibri"/>
          <w:kern w:val="2"/>
          <w:sz w:val="24"/>
          <w:szCs w:val="24"/>
          <w:highlight w:val="none"/>
        </w:rPr>
        <w:t>паводки</w:t>
      </w:r>
      <w:r>
        <w:rPr>
          <w:rFonts w:eastAsia="Calibri"/>
          <w:kern w:val="2"/>
          <w:sz w:val="24"/>
          <w:szCs w:val="24"/>
          <w:highlight w:val="none"/>
        </w:rPr>
        <w:fldChar w:fldCharType="end"/>
      </w:r>
      <w:r>
        <w:rPr>
          <w:rFonts w:eastAsia="Calibri"/>
          <w:kern w:val="2"/>
          <w:sz w:val="24"/>
          <w:szCs w:val="24"/>
          <w:highlight w:val="none"/>
        </w:rPr>
        <w:t>.</w:t>
      </w:r>
    </w:p>
    <w:p>
      <w:pPr>
        <w:shd w:val="clear"/>
        <w:spacing w:line="276" w:lineRule="auto"/>
        <w:rPr>
          <w:rFonts w:eastAsia="Calibri"/>
          <w:kern w:val="2"/>
          <w:sz w:val="24"/>
          <w:szCs w:val="24"/>
          <w:highlight w:val="none"/>
        </w:rPr>
      </w:pPr>
    </w:p>
    <w:p>
      <w:pPr>
        <w:pStyle w:val="2"/>
        <w:shd w:val="clear"/>
        <w:rPr>
          <w:rFonts w:ascii="Times New Roman" w:hAnsi="Times New Roman" w:cs="Times New Roman"/>
          <w:b/>
          <w:bCs/>
          <w:color w:val="auto"/>
          <w:sz w:val="24"/>
          <w:szCs w:val="24"/>
          <w:highlight w:val="none"/>
        </w:rPr>
      </w:pPr>
      <w:bookmarkStart w:id="19" w:name="_Toc128522431"/>
      <w:bookmarkStart w:id="20" w:name="_Toc143612301"/>
      <w:bookmarkStart w:id="21" w:name="_Toc128587660"/>
      <w:r>
        <w:rPr>
          <w:rFonts w:ascii="Times New Roman" w:hAnsi="Times New Roman" w:cs="Times New Roman"/>
          <w:b/>
          <w:bCs/>
          <w:color w:val="auto"/>
          <w:sz w:val="24"/>
          <w:szCs w:val="24"/>
          <w:highlight w:val="none"/>
        </w:rPr>
        <w:t>2.1.5 Неблагоприятные гидрологические явления. Экзогенно-геологические процессы</w:t>
      </w:r>
      <w:bookmarkEnd w:id="19"/>
      <w:bookmarkEnd w:id="20"/>
      <w:bookmarkEnd w:id="21"/>
    </w:p>
    <w:p>
      <w:pPr>
        <w:shd w:val="clear"/>
        <w:spacing w:line="276" w:lineRule="auto"/>
        <w:rPr>
          <w:rFonts w:eastAsia="Calibri"/>
          <w:kern w:val="2"/>
          <w:sz w:val="24"/>
          <w:szCs w:val="24"/>
          <w:highlight w:val="none"/>
        </w:rPr>
      </w:pPr>
      <w:r>
        <w:rPr>
          <w:rFonts w:eastAsia="Calibri"/>
          <w:kern w:val="2"/>
          <w:sz w:val="24"/>
          <w:szCs w:val="24"/>
          <w:highlight w:val="none"/>
        </w:rPr>
        <w:t>Из физико-геологических процессов, развитых на территории городского округа, имеют место заболачивание, островная мерзлота, оврагообразование, оползни, осыпи, обвалы, размыв берегов, лавины.</w:t>
      </w:r>
    </w:p>
    <w:p>
      <w:pPr>
        <w:shd w:val="clear"/>
        <w:spacing w:line="276" w:lineRule="auto"/>
        <w:rPr>
          <w:rFonts w:eastAsia="Calibri"/>
          <w:kern w:val="2"/>
          <w:sz w:val="24"/>
          <w:szCs w:val="24"/>
          <w:highlight w:val="none"/>
        </w:rPr>
      </w:pPr>
      <w:r>
        <w:rPr>
          <w:rFonts w:eastAsia="Calibri"/>
          <w:kern w:val="2"/>
          <w:sz w:val="24"/>
          <w:szCs w:val="24"/>
          <w:highlight w:val="none"/>
        </w:rPr>
        <w:t>Заболачивание получило распространение в пределах Северо-Сахалинской равнины (главным образом в речных долинах и на низких морских террасах). Это, в основном, северная и центральная часть рассматриваемой территории. Заболачивание связано со слабым дренированием местности в виду развития слабопроницаемых пород при незначительных уклонах поверхности, обилии атмосферных осадков, близким залеганием грунтовых вод. Торфяники приурочены в основном к низовьям речных долин. Мощность торфа составляет 2,5-3,0 м. По типу залежи преобладают верховые болота. Торфяники с мощностью торфа более 2 м не рекомендуются для освоения под строительство. Болота с маломощным торфяным покровом могут быть осушены и использованы под застройку.</w:t>
      </w:r>
    </w:p>
    <w:p>
      <w:pPr>
        <w:shd w:val="clear"/>
        <w:spacing w:line="276" w:lineRule="auto"/>
        <w:rPr>
          <w:rFonts w:eastAsia="Calibri"/>
          <w:kern w:val="2"/>
          <w:sz w:val="24"/>
          <w:szCs w:val="24"/>
          <w:highlight w:val="none"/>
        </w:rPr>
      </w:pPr>
      <w:r>
        <w:rPr>
          <w:rFonts w:eastAsia="Calibri"/>
          <w:kern w:val="2"/>
          <w:sz w:val="24"/>
          <w:szCs w:val="24"/>
          <w:highlight w:val="none"/>
        </w:rPr>
        <w:t>Многолетняя мерзлота имеет островное распространение в пределах низких морских террас. Мёрзлые породы залегают под слоем торфа на глубине 1-1,5 м.</w:t>
      </w:r>
    </w:p>
    <w:p>
      <w:pPr>
        <w:shd w:val="clear"/>
        <w:spacing w:line="276" w:lineRule="auto"/>
        <w:rPr>
          <w:rFonts w:eastAsia="Calibri"/>
          <w:kern w:val="2"/>
          <w:sz w:val="24"/>
          <w:szCs w:val="24"/>
          <w:highlight w:val="none"/>
        </w:rPr>
      </w:pPr>
      <w:r>
        <w:rPr>
          <w:rFonts w:eastAsia="Calibri"/>
          <w:kern w:val="2"/>
          <w:sz w:val="24"/>
          <w:szCs w:val="24"/>
          <w:highlight w:val="none"/>
        </w:rPr>
        <w:t>На участках с развитием островной многолетней мерзлоты имеют место гидромерзлотные явления – пучение и течение грунтов с образованием бугров и наледей.</w:t>
      </w:r>
    </w:p>
    <w:p>
      <w:pPr>
        <w:shd w:val="clear"/>
        <w:spacing w:line="276" w:lineRule="auto"/>
        <w:rPr>
          <w:rFonts w:eastAsia="Calibri"/>
          <w:kern w:val="2"/>
          <w:sz w:val="24"/>
          <w:szCs w:val="24"/>
          <w:highlight w:val="none"/>
        </w:rPr>
      </w:pPr>
      <w:r>
        <w:rPr>
          <w:rFonts w:eastAsia="Calibri"/>
          <w:kern w:val="2"/>
          <w:sz w:val="24"/>
          <w:szCs w:val="24"/>
          <w:highlight w:val="none"/>
        </w:rPr>
        <w:t>Оврагообразование имеет место в пределах денудационной равнины (на севере территории) на склонах холмов и увалов, сложенных рыхлыми осадочными породами, и на высоких морских террасах. Овраги характеризуются крутыми склонами, большей частью незадернованными. В средней части и в устьях овраги расширяются и склоны их значительно выполаживаются. Ширина оврагов по дну составляет несколько метров, глубина их достигает нескольких десятков метров.</w:t>
      </w:r>
    </w:p>
    <w:p>
      <w:pPr>
        <w:shd w:val="clear"/>
        <w:spacing w:line="276" w:lineRule="auto"/>
        <w:rPr>
          <w:rFonts w:eastAsia="Calibri"/>
          <w:kern w:val="2"/>
          <w:sz w:val="24"/>
          <w:szCs w:val="24"/>
          <w:highlight w:val="none"/>
        </w:rPr>
      </w:pPr>
      <w:r>
        <w:rPr>
          <w:rFonts w:eastAsia="Calibri"/>
          <w:kern w:val="2"/>
          <w:sz w:val="24"/>
          <w:szCs w:val="24"/>
          <w:highlight w:val="none"/>
        </w:rPr>
        <w:t>Оползни приурочены к морскому побережью и крутым подмываемым реками склонам, сложенным глинистыми породами. Образованию оползней способствуют значительная крутизна склонов, согласное направление залегания горных пород с направлением склонов, ливневой характер дождей и близкое залегание к поверхности водоупорного слоя, нарушение устойчивости склонов выемками железных и шоссейных дорог.</w:t>
      </w:r>
    </w:p>
    <w:p>
      <w:pPr>
        <w:shd w:val="clear"/>
        <w:spacing w:line="276" w:lineRule="auto"/>
        <w:rPr>
          <w:rFonts w:eastAsia="Calibri"/>
          <w:kern w:val="2"/>
          <w:sz w:val="24"/>
          <w:szCs w:val="24"/>
          <w:highlight w:val="none"/>
        </w:rPr>
      </w:pPr>
      <w:r>
        <w:rPr>
          <w:rFonts w:eastAsia="Calibri"/>
          <w:kern w:val="2"/>
          <w:sz w:val="24"/>
          <w:szCs w:val="24"/>
          <w:highlight w:val="none"/>
        </w:rPr>
        <w:t>Размыв берегов имеет место в долинах равнинных и горных рек.</w:t>
      </w:r>
    </w:p>
    <w:p>
      <w:pPr>
        <w:shd w:val="clear"/>
        <w:spacing w:line="276" w:lineRule="auto"/>
        <w:rPr>
          <w:rFonts w:eastAsia="Calibri"/>
          <w:kern w:val="2"/>
          <w:sz w:val="24"/>
          <w:szCs w:val="24"/>
          <w:highlight w:val="none"/>
        </w:rPr>
      </w:pPr>
      <w:r>
        <w:rPr>
          <w:rFonts w:eastAsia="Calibri"/>
          <w:b/>
          <w:kern w:val="2"/>
          <w:sz w:val="24"/>
          <w:szCs w:val="24"/>
          <w:highlight w:val="none"/>
        </w:rPr>
        <w:t>Сейсмичность.</w:t>
      </w:r>
      <w:r>
        <w:rPr>
          <w:rFonts w:eastAsia="Calibri"/>
          <w:kern w:val="2"/>
          <w:sz w:val="24"/>
          <w:szCs w:val="24"/>
          <w:highlight w:val="none"/>
        </w:rPr>
        <w:t xml:space="preserve"> В соответствии с картами общего сейсмического районирования территории Российской Федерации, территория городского округа относится к девятибалльной зоне.</w:t>
      </w:r>
    </w:p>
    <w:p>
      <w:pPr>
        <w:shd w:val="clear"/>
        <w:spacing w:line="276" w:lineRule="auto"/>
        <w:rPr>
          <w:rFonts w:eastAsia="Calibri"/>
          <w:kern w:val="2"/>
          <w:sz w:val="24"/>
          <w:szCs w:val="24"/>
          <w:highlight w:val="none"/>
        </w:rPr>
      </w:pPr>
      <w:r>
        <w:rPr>
          <w:rFonts w:eastAsia="Calibri"/>
          <w:kern w:val="2"/>
          <w:sz w:val="24"/>
          <w:szCs w:val="24"/>
          <w:highlight w:val="none"/>
        </w:rPr>
        <w:t>На территориях с сейсмичностью 7 баллов и выше строительство должно осуществляться в соответствии со СП 14.13330.2018 «Строительство в сейсмических районах СНиП II-7-81* (актуализированного СНиП II-7-81* «Строительство в сейсмических районах» (СП 14.13330.2011))».</w:t>
      </w:r>
    </w:p>
    <w:p>
      <w:pPr>
        <w:shd w:val="clear"/>
        <w:spacing w:line="276" w:lineRule="auto"/>
        <w:rPr>
          <w:rFonts w:eastAsia="Calibri"/>
          <w:kern w:val="2"/>
          <w:sz w:val="24"/>
          <w:szCs w:val="24"/>
          <w:highlight w:val="none"/>
        </w:rPr>
      </w:pPr>
      <w:r>
        <w:rPr>
          <w:rFonts w:eastAsia="Calibri"/>
          <w:kern w:val="2"/>
          <w:sz w:val="24"/>
          <w:szCs w:val="24"/>
          <w:highlight w:val="none"/>
        </w:rPr>
        <w:t>Согласно картам сейсмического микрорайонирования, сейсмическая интенсивность для МО «Городской округ Ногликский» в целочисленных баллах шкалы MSK-64 на поверхности составляет 8-10 баллов.</w:t>
      </w:r>
    </w:p>
    <w:p>
      <w:pPr>
        <w:shd w:val="clear"/>
        <w:spacing w:line="276" w:lineRule="auto"/>
        <w:rPr>
          <w:rFonts w:eastAsia="Calibri"/>
          <w:kern w:val="2"/>
          <w:sz w:val="24"/>
          <w:szCs w:val="24"/>
          <w:highlight w:val="none"/>
        </w:rPr>
      </w:pPr>
      <w:r>
        <w:rPr>
          <w:rFonts w:eastAsia="Calibri"/>
          <w:kern w:val="2"/>
          <w:sz w:val="24"/>
          <w:szCs w:val="24"/>
          <w:highlight w:val="none"/>
        </w:rPr>
        <w:t>В ниже следующей таблице приводятся данные по сейсмической активности территорий основных населённых пунктов городского округа (согласно СП 14.13330.2018).</w:t>
      </w:r>
    </w:p>
    <w:p>
      <w:pPr>
        <w:shd w:val="clear"/>
        <w:spacing w:line="276" w:lineRule="auto"/>
        <w:rPr>
          <w:rFonts w:eastAsia="Calibri"/>
          <w:kern w:val="2"/>
          <w:sz w:val="24"/>
          <w:szCs w:val="24"/>
          <w:highlight w:val="none"/>
        </w:rPr>
      </w:pPr>
    </w:p>
    <w:p>
      <w:pPr>
        <w:shd w:val="clear"/>
        <w:spacing w:line="276" w:lineRule="auto"/>
        <w:ind w:firstLine="0"/>
        <w:jc w:val="center"/>
        <w:rPr>
          <w:rFonts w:eastAsia="Calibri"/>
          <w:kern w:val="2"/>
          <w:sz w:val="24"/>
          <w:szCs w:val="24"/>
          <w:highlight w:val="none"/>
        </w:rPr>
      </w:pPr>
      <w:r>
        <w:rPr>
          <w:rFonts w:eastAsia="Calibri"/>
          <w:kern w:val="2"/>
          <w:sz w:val="24"/>
          <w:szCs w:val="24"/>
          <w:highlight w:val="none"/>
        </w:rPr>
        <w:t>Таблица – Сейсмическая активность отдельных основных населённых пунктов</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89"/>
        <w:gridCol w:w="3191"/>
        <w:gridCol w:w="3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jc w:val="center"/>
        </w:trPr>
        <w:tc>
          <w:tcPr>
            <w:tcW w:w="1666" w:type="pct"/>
            <w:vMerge w:val="restart"/>
            <w:tcBorders>
              <w:top w:val="single" w:color="auto" w:sz="4" w:space="0"/>
              <w:left w:val="single" w:color="auto" w:sz="4" w:space="0"/>
              <w:bottom w:val="single" w:color="auto" w:sz="4" w:space="0"/>
              <w:right w:val="single" w:color="auto" w:sz="4" w:space="0"/>
            </w:tcBorders>
            <w:vAlign w:val="center"/>
          </w:tcPr>
          <w:p>
            <w:pPr>
              <w:shd w:val="clear"/>
              <w:jc w:val="center"/>
              <w:rPr>
                <w:rFonts w:eastAsia="Calibri"/>
                <w:kern w:val="2"/>
                <w:sz w:val="20"/>
                <w:szCs w:val="20"/>
                <w:highlight w:val="none"/>
              </w:rPr>
            </w:pPr>
            <w:r>
              <w:rPr>
                <w:rFonts w:eastAsia="Calibri"/>
                <w:kern w:val="2"/>
                <w:sz w:val="20"/>
                <w:szCs w:val="20"/>
                <w:highlight w:val="none"/>
              </w:rPr>
              <w:t>Название населённого пункта</w:t>
            </w:r>
          </w:p>
        </w:tc>
        <w:tc>
          <w:tcPr>
            <w:tcW w:w="3334" w:type="pct"/>
            <w:gridSpan w:val="2"/>
            <w:tcBorders>
              <w:top w:val="single" w:color="auto" w:sz="4" w:space="0"/>
              <w:left w:val="single" w:color="auto" w:sz="4" w:space="0"/>
              <w:bottom w:val="single" w:color="auto" w:sz="4" w:space="0"/>
              <w:right w:val="single" w:color="auto" w:sz="4" w:space="0"/>
            </w:tcBorders>
            <w:vAlign w:val="center"/>
          </w:tcPr>
          <w:p>
            <w:pPr>
              <w:shd w:val="clear"/>
              <w:jc w:val="center"/>
              <w:rPr>
                <w:rFonts w:eastAsia="Calibri"/>
                <w:kern w:val="2"/>
                <w:sz w:val="20"/>
                <w:szCs w:val="20"/>
                <w:highlight w:val="none"/>
              </w:rPr>
            </w:pPr>
            <w:r>
              <w:rPr>
                <w:rFonts w:eastAsia="Calibri"/>
                <w:kern w:val="2"/>
                <w:sz w:val="20"/>
                <w:szCs w:val="20"/>
                <w:highlight w:val="none"/>
              </w:rPr>
              <w:t>Сейсмическая активность согласно СП 14.13330.2018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jc w:val="center"/>
        </w:trPr>
        <w:tc>
          <w:tcPr>
            <w:tcW w:w="1666" w:type="pct"/>
            <w:vMerge w:val="continue"/>
            <w:tcBorders>
              <w:top w:val="single" w:color="auto" w:sz="4" w:space="0"/>
              <w:left w:val="single" w:color="auto" w:sz="4" w:space="0"/>
              <w:bottom w:val="single" w:color="auto" w:sz="4" w:space="0"/>
              <w:right w:val="single" w:color="auto" w:sz="4" w:space="0"/>
            </w:tcBorders>
            <w:vAlign w:val="center"/>
          </w:tcPr>
          <w:p>
            <w:pPr>
              <w:shd w:val="clear"/>
              <w:rPr>
                <w:rFonts w:eastAsia="Calibri"/>
                <w:kern w:val="2"/>
                <w:sz w:val="20"/>
                <w:szCs w:val="20"/>
                <w:highlight w:val="none"/>
              </w:rPr>
            </w:pPr>
          </w:p>
        </w:tc>
        <w:tc>
          <w:tcPr>
            <w:tcW w:w="1667" w:type="pct"/>
            <w:tcBorders>
              <w:top w:val="single" w:color="auto" w:sz="4" w:space="0"/>
              <w:left w:val="single" w:color="auto" w:sz="4" w:space="0"/>
              <w:bottom w:val="single" w:color="auto" w:sz="4" w:space="0"/>
              <w:right w:val="single" w:color="auto" w:sz="4" w:space="0"/>
            </w:tcBorders>
            <w:vAlign w:val="center"/>
          </w:tcPr>
          <w:p>
            <w:pPr>
              <w:shd w:val="clear"/>
              <w:ind w:firstLine="0"/>
              <w:jc w:val="center"/>
              <w:rPr>
                <w:rFonts w:eastAsia="Calibri"/>
                <w:kern w:val="2"/>
                <w:sz w:val="20"/>
                <w:szCs w:val="20"/>
                <w:highlight w:val="none"/>
              </w:rPr>
            </w:pPr>
            <w:r>
              <w:rPr>
                <w:rFonts w:eastAsia="Calibri"/>
                <w:kern w:val="2"/>
                <w:sz w:val="20"/>
                <w:szCs w:val="20"/>
                <w:highlight w:val="none"/>
              </w:rPr>
              <w:t>для массового строительства</w:t>
            </w:r>
          </w:p>
        </w:tc>
        <w:tc>
          <w:tcPr>
            <w:tcW w:w="1667" w:type="pct"/>
            <w:tcBorders>
              <w:top w:val="single" w:color="auto" w:sz="4" w:space="0"/>
              <w:left w:val="single" w:color="auto" w:sz="4" w:space="0"/>
              <w:bottom w:val="single" w:color="auto" w:sz="4" w:space="0"/>
              <w:right w:val="single" w:color="auto" w:sz="4" w:space="0"/>
            </w:tcBorders>
            <w:vAlign w:val="center"/>
          </w:tcPr>
          <w:p>
            <w:pPr>
              <w:shd w:val="clear"/>
              <w:ind w:firstLine="0"/>
              <w:jc w:val="center"/>
              <w:rPr>
                <w:rFonts w:eastAsia="Calibri"/>
                <w:kern w:val="2"/>
                <w:sz w:val="20"/>
                <w:szCs w:val="20"/>
                <w:highlight w:val="none"/>
              </w:rPr>
            </w:pPr>
            <w:r>
              <w:rPr>
                <w:rFonts w:eastAsia="Calibri"/>
                <w:kern w:val="2"/>
                <w:sz w:val="20"/>
                <w:szCs w:val="20"/>
                <w:highlight w:val="none"/>
              </w:rPr>
              <w:t>для объектов повышенной ответственности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666" w:type="pct"/>
            <w:tcBorders>
              <w:top w:val="single" w:color="auto" w:sz="4" w:space="0"/>
              <w:left w:val="single" w:color="auto" w:sz="4" w:space="0"/>
              <w:bottom w:val="single" w:color="auto" w:sz="4" w:space="0"/>
              <w:right w:val="single" w:color="auto" w:sz="4" w:space="0"/>
            </w:tcBorders>
            <w:vAlign w:val="center"/>
          </w:tcPr>
          <w:p>
            <w:pPr>
              <w:shd w:val="clear"/>
              <w:rPr>
                <w:rFonts w:eastAsia="Calibri"/>
                <w:kern w:val="2"/>
                <w:sz w:val="20"/>
                <w:szCs w:val="20"/>
                <w:highlight w:val="none"/>
              </w:rPr>
            </w:pPr>
            <w:r>
              <w:rPr>
                <w:rFonts w:eastAsia="Calibri"/>
                <w:kern w:val="2"/>
                <w:sz w:val="20"/>
                <w:szCs w:val="20"/>
                <w:highlight w:val="none"/>
              </w:rPr>
              <w:t>пгт. Ноглики</w:t>
            </w:r>
          </w:p>
        </w:tc>
        <w:tc>
          <w:tcPr>
            <w:tcW w:w="1667" w:type="pct"/>
            <w:tcBorders>
              <w:top w:val="single" w:color="auto" w:sz="4" w:space="0"/>
              <w:left w:val="single" w:color="auto" w:sz="4" w:space="0"/>
              <w:bottom w:val="single" w:color="auto" w:sz="4" w:space="0"/>
              <w:right w:val="single" w:color="auto" w:sz="4" w:space="0"/>
            </w:tcBorders>
            <w:vAlign w:val="center"/>
          </w:tcPr>
          <w:p>
            <w:pPr>
              <w:shd w:val="clear"/>
              <w:ind w:firstLine="0"/>
              <w:jc w:val="center"/>
              <w:rPr>
                <w:rFonts w:eastAsia="Calibri"/>
                <w:kern w:val="2"/>
                <w:sz w:val="20"/>
                <w:szCs w:val="20"/>
                <w:highlight w:val="none"/>
              </w:rPr>
            </w:pPr>
            <w:r>
              <w:rPr>
                <w:rFonts w:eastAsia="Calibri"/>
                <w:kern w:val="2"/>
                <w:sz w:val="20"/>
                <w:szCs w:val="20"/>
                <w:highlight w:val="none"/>
              </w:rPr>
              <w:t>9</w:t>
            </w:r>
          </w:p>
        </w:tc>
        <w:tc>
          <w:tcPr>
            <w:tcW w:w="1667" w:type="pct"/>
            <w:tcBorders>
              <w:top w:val="single" w:color="auto" w:sz="4" w:space="0"/>
              <w:left w:val="single" w:color="auto" w:sz="4" w:space="0"/>
              <w:bottom w:val="single" w:color="auto" w:sz="4" w:space="0"/>
              <w:right w:val="single" w:color="auto" w:sz="4" w:space="0"/>
            </w:tcBorders>
            <w:vAlign w:val="center"/>
          </w:tcPr>
          <w:p>
            <w:pPr>
              <w:shd w:val="clear"/>
              <w:ind w:firstLine="0"/>
              <w:jc w:val="center"/>
              <w:rPr>
                <w:rFonts w:eastAsia="Calibri"/>
                <w:kern w:val="2"/>
                <w:sz w:val="20"/>
                <w:szCs w:val="20"/>
                <w:highlight w:val="none"/>
              </w:rPr>
            </w:pPr>
            <w:r>
              <w:rPr>
                <w:rFonts w:eastAsia="Calibri"/>
                <w:kern w:val="2"/>
                <w:sz w:val="20"/>
                <w:szCs w:val="20"/>
                <w:highlight w:val="none"/>
              </w:rPr>
              <w:t>9</w:t>
            </w:r>
          </w:p>
        </w:tc>
      </w:tr>
    </w:tbl>
    <w:p>
      <w:pPr>
        <w:shd w:val="clear"/>
        <w:spacing w:line="276" w:lineRule="auto"/>
        <w:rPr>
          <w:rFonts w:eastAsia="Calibri"/>
          <w:kern w:val="2"/>
          <w:sz w:val="24"/>
          <w:szCs w:val="24"/>
          <w:highlight w:val="none"/>
        </w:rPr>
      </w:pPr>
    </w:p>
    <w:p>
      <w:pPr>
        <w:shd w:val="clear"/>
        <w:spacing w:line="276" w:lineRule="auto"/>
        <w:rPr>
          <w:rFonts w:eastAsia="Calibri"/>
          <w:kern w:val="2"/>
          <w:sz w:val="24"/>
          <w:szCs w:val="24"/>
          <w:highlight w:val="none"/>
        </w:rPr>
      </w:pPr>
      <w:r>
        <w:rPr>
          <w:rFonts w:eastAsia="Calibri"/>
          <w:kern w:val="2"/>
          <w:sz w:val="24"/>
          <w:szCs w:val="24"/>
          <w:highlight w:val="none"/>
        </w:rPr>
        <w:t>Территория в целом благоприятна для освоения. К неблагоприятным для строительства относятся территории поймы рек.</w:t>
      </w:r>
    </w:p>
    <w:p>
      <w:pPr>
        <w:shd w:val="clear"/>
        <w:spacing w:line="276" w:lineRule="auto"/>
        <w:rPr>
          <w:rFonts w:eastAsia="Calibri"/>
          <w:kern w:val="2"/>
          <w:sz w:val="24"/>
          <w:szCs w:val="24"/>
          <w:highlight w:val="none"/>
        </w:rPr>
      </w:pPr>
      <w:r>
        <w:rPr>
          <w:rFonts w:eastAsia="Calibri"/>
          <w:kern w:val="2"/>
          <w:sz w:val="24"/>
          <w:szCs w:val="24"/>
          <w:highlight w:val="none"/>
        </w:rPr>
        <w:t>На территории проекта планировки опасных экзогенных геологических процессов не отмечается.</w:t>
      </w:r>
    </w:p>
    <w:p>
      <w:pPr>
        <w:widowControl w:val="0"/>
        <w:shd w:val="clear"/>
        <w:kinsoku w:val="0"/>
        <w:overflowPunct w:val="0"/>
        <w:snapToGrid w:val="0"/>
        <w:spacing w:line="276" w:lineRule="auto"/>
        <w:ind w:firstLine="567"/>
        <w:rPr>
          <w:rFonts w:eastAsia="Calibri"/>
          <w:iCs/>
          <w:sz w:val="24"/>
          <w:szCs w:val="24"/>
          <w:highlight w:val="none"/>
        </w:rPr>
      </w:pPr>
    </w:p>
    <w:p>
      <w:pPr>
        <w:pStyle w:val="2"/>
        <w:shd w:val="clear"/>
        <w:rPr>
          <w:rFonts w:ascii="Times New Roman" w:hAnsi="Times New Roman" w:cs="Times New Roman"/>
          <w:b/>
          <w:bCs/>
          <w:color w:val="auto"/>
          <w:sz w:val="24"/>
          <w:szCs w:val="24"/>
          <w:highlight w:val="none"/>
        </w:rPr>
      </w:pPr>
      <w:bookmarkStart w:id="22" w:name="_Toc143612302"/>
      <w:bookmarkStart w:id="23" w:name="_Toc128522432"/>
      <w:bookmarkStart w:id="24" w:name="_Toc128587661"/>
      <w:r>
        <w:rPr>
          <w:rFonts w:ascii="Times New Roman" w:hAnsi="Times New Roman" w:cs="Times New Roman"/>
          <w:b/>
          <w:bCs/>
          <w:color w:val="auto"/>
          <w:sz w:val="24"/>
          <w:szCs w:val="24"/>
          <w:highlight w:val="none"/>
        </w:rPr>
        <w:t>2.1.6 Месторождения полезных ископаемых</w:t>
      </w:r>
      <w:bookmarkEnd w:id="22"/>
      <w:bookmarkEnd w:id="23"/>
      <w:bookmarkEnd w:id="24"/>
    </w:p>
    <w:p>
      <w:pPr>
        <w:shd w:val="clear"/>
        <w:spacing w:line="276" w:lineRule="auto"/>
        <w:rPr>
          <w:rFonts w:eastAsia="Calibri"/>
          <w:kern w:val="2"/>
          <w:sz w:val="24"/>
          <w:szCs w:val="24"/>
          <w:highlight w:val="none"/>
        </w:rPr>
      </w:pPr>
      <w:r>
        <w:rPr>
          <w:rFonts w:eastAsia="Calibri"/>
          <w:kern w:val="2"/>
          <w:sz w:val="24"/>
          <w:szCs w:val="24"/>
          <w:highlight w:val="none"/>
        </w:rPr>
        <w:t>Согласно справке Администрации муниципального образования «Городской округ Ногликский» Сахалинской области № 5.07-2410/22 от 10.06.2022 г на территории проекта месторождения полезных ископаемых отсутствуют.</w:t>
      </w:r>
    </w:p>
    <w:p>
      <w:pPr>
        <w:pStyle w:val="2"/>
        <w:shd w:val="clear"/>
        <w:spacing w:line="276" w:lineRule="auto"/>
        <w:ind w:firstLine="0"/>
        <w:rPr>
          <w:rFonts w:ascii="Times New Roman" w:hAnsi="Times New Roman" w:cs="Times New Roman"/>
          <w:b/>
          <w:bCs/>
          <w:color w:val="FF0000"/>
          <w:sz w:val="24"/>
          <w:szCs w:val="24"/>
          <w:highlight w:val="none"/>
        </w:rPr>
      </w:pPr>
      <w:r>
        <w:rPr>
          <w:rFonts w:ascii="Times New Roman" w:hAnsi="Times New Roman" w:cs="Times New Roman"/>
          <w:b/>
          <w:bCs/>
          <w:color w:val="auto"/>
          <w:sz w:val="24"/>
          <w:szCs w:val="24"/>
          <w:highlight w:val="none"/>
        </w:rPr>
        <w:t>2.2 Анализ существующего положения</w:t>
      </w:r>
      <w:bookmarkEnd w:id="6"/>
    </w:p>
    <w:p>
      <w:pPr>
        <w:shd w:val="clear"/>
        <w:spacing w:line="276" w:lineRule="auto"/>
        <w:rPr>
          <w:sz w:val="24"/>
          <w:szCs w:val="24"/>
          <w:highlight w:val="none"/>
        </w:rPr>
      </w:pPr>
    </w:p>
    <w:p>
      <w:pPr>
        <w:shd w:val="clear"/>
        <w:spacing w:line="276" w:lineRule="auto"/>
        <w:rPr>
          <w:color w:val="000000" w:themeColor="text1"/>
          <w:sz w:val="24"/>
          <w:szCs w:val="24"/>
          <w:highlight w:val="none"/>
          <w14:textFill>
            <w14:solidFill>
              <w14:schemeClr w14:val="tx1"/>
            </w14:solidFill>
          </w14:textFill>
        </w:rPr>
      </w:pPr>
      <w:bookmarkStart w:id="25" w:name="_Toc128522436"/>
      <w:r>
        <w:rPr>
          <w:color w:val="000000" w:themeColor="text1"/>
          <w:sz w:val="24"/>
          <w:szCs w:val="24"/>
          <w:highlight w:val="none"/>
          <w14:textFill>
            <w14:solidFill>
              <w14:schemeClr w14:val="tx1"/>
            </w14:solidFill>
          </w14:textFill>
        </w:rPr>
        <w:t>Проект планировки территории разрабатывается в пределах планировочного микрорайона № 1</w:t>
      </w:r>
      <w:r>
        <w:rPr>
          <w:rFonts w:hint="default"/>
          <w:color w:val="000000" w:themeColor="text1"/>
          <w:sz w:val="24"/>
          <w:szCs w:val="24"/>
          <w:highlight w:val="none"/>
          <w:lang w:val="ru-RU"/>
          <w14:textFill>
            <w14:solidFill>
              <w14:schemeClr w14:val="tx1"/>
            </w14:solidFill>
          </w14:textFill>
        </w:rPr>
        <w:t>5</w:t>
      </w:r>
      <w:r>
        <w:rPr>
          <w:color w:val="000000" w:themeColor="text1"/>
          <w:sz w:val="24"/>
          <w:szCs w:val="24"/>
          <w:highlight w:val="none"/>
          <w14:textFill>
            <w14:solidFill>
              <w14:schemeClr w14:val="tx1"/>
            </w14:solidFill>
          </w14:textFill>
        </w:rPr>
        <w:t xml:space="preserve"> пгт. Ноглики муниципального образования «Городской округ Ногликский». Площадь территории планировки составляет </w:t>
      </w:r>
      <w:r>
        <w:rPr>
          <w:rFonts w:hint="default"/>
          <w:color w:val="000000" w:themeColor="text1"/>
          <w:sz w:val="24"/>
          <w:szCs w:val="24"/>
          <w:highlight w:val="none"/>
          <w:lang w:val="ru-RU"/>
          <w14:textFill>
            <w14:solidFill>
              <w14:schemeClr w14:val="tx1"/>
            </w14:solidFill>
          </w14:textFill>
        </w:rPr>
        <w:t>64</w:t>
      </w:r>
      <w:r>
        <w:rPr>
          <w:color w:val="000000" w:themeColor="text1"/>
          <w:sz w:val="24"/>
          <w:szCs w:val="24"/>
          <w:highlight w:val="none"/>
          <w14:textFill>
            <w14:solidFill>
              <w14:schemeClr w14:val="tx1"/>
            </w14:solidFill>
          </w14:textFill>
        </w:rPr>
        <w:t>,</w:t>
      </w:r>
      <w:r>
        <w:rPr>
          <w:rFonts w:hint="default"/>
          <w:color w:val="000000" w:themeColor="text1"/>
          <w:sz w:val="24"/>
          <w:szCs w:val="24"/>
          <w:highlight w:val="none"/>
          <w:lang w:val="ru-RU"/>
          <w14:textFill>
            <w14:solidFill>
              <w14:schemeClr w14:val="tx1"/>
            </w14:solidFill>
          </w14:textFill>
        </w:rPr>
        <w:t>41</w:t>
      </w:r>
      <w:r>
        <w:rPr>
          <w:color w:val="000000" w:themeColor="text1"/>
          <w:sz w:val="24"/>
          <w:szCs w:val="24"/>
          <w:highlight w:val="none"/>
          <w14:textFill>
            <w14:solidFill>
              <w14:schemeClr w14:val="tx1"/>
            </w14:solidFill>
          </w14:textFill>
        </w:rPr>
        <w:t xml:space="preserve"> га.</w:t>
      </w:r>
    </w:p>
    <w:p>
      <w:pPr>
        <w:spacing w:line="276" w:lineRule="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Рассматриваемая территория находится в южной части поселка, по функции является периферийным районом жилой застройки, связанным с центром пгт. федеральной трассой «Южно-Сахалинск — Оха».</w:t>
      </w:r>
    </w:p>
    <w:p>
      <w:pPr>
        <w:spacing w:line="276" w:lineRule="auto"/>
        <w:rPr>
          <w:rFonts w:hint="default"/>
          <w:color w:val="000000" w:themeColor="text1"/>
          <w:sz w:val="24"/>
          <w:szCs w:val="24"/>
          <w:highlight w:val="none"/>
          <w:lang w:val="ru-RU"/>
          <w14:textFill>
            <w14:solidFill>
              <w14:schemeClr w14:val="tx1"/>
            </w14:solidFill>
          </w14:textFill>
        </w:rPr>
      </w:pPr>
      <w:r>
        <w:rPr>
          <w:color w:val="000000" w:themeColor="text1"/>
          <w:sz w:val="24"/>
          <w:szCs w:val="24"/>
          <w14:textFill>
            <w14:solidFill>
              <w14:schemeClr w14:val="tx1"/>
            </w14:solidFill>
          </w14:textFill>
        </w:rPr>
        <w:t>С востока и юго-востока территория планировки граничит с территорией аэродрома. С юго-запада территория проекта планировки соседствует с микрорайоном №12. С севера территория ограничена федеральной трассой «Южно-Сахалинск — Оха».</w:t>
      </w:r>
    </w:p>
    <w:p>
      <w:pPr>
        <w:spacing w:line="276" w:lineRule="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Территория проекта планировки представляет собой частично освоенную территорию жилой застройки, представленную индивидуальным жилым строительством (ИЖС). </w:t>
      </w:r>
    </w:p>
    <w:p>
      <w:pPr>
        <w:spacing w:line="276" w:lineRule="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Существующая застройка представлена 62 жилыми домами общей площадью жилой застройки – 7440 кв.м.</w:t>
      </w:r>
    </w:p>
    <w:p>
      <w:pPr>
        <w:spacing w:line="276" w:lineRule="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 границах территории расположены также не застроенные земельные участки.</w:t>
      </w:r>
    </w:p>
    <w:p>
      <w:pPr>
        <w:spacing w:line="276" w:lineRule="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В границах планировочной территории отсутствуют объекты социального и культурно-бытового обслуживания населения, а также общественно-делового назначения. </w:t>
      </w:r>
    </w:p>
    <w:p>
      <w:pPr>
        <w:spacing w:line="276" w:lineRule="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Существующая численность населения в границах рассматриваемой территории составляет 186 человек.</w:t>
      </w:r>
    </w:p>
    <w:p>
      <w:pPr>
        <w:spacing w:line="276" w:lineRule="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 связи с отсутствием исходных данных по численности населения расчет в существующем индивидуальном жилищном фонде был произведен через средний размер коэффициента семейственности, принимаемый- 3 чел. (средней размер частного домохозяйства (коэффициент семейственности) на 2022 год в Сахалинской области равен 2,6 человек).</w:t>
      </w:r>
    </w:p>
    <w:p>
      <w:pPr>
        <w:spacing w:line="276" w:lineRule="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Расчет населения в существующем многоквартирном жилом фонде, проводится из его ориентировочной площади через среднюю жилищную обеспеченность 35 кв.м/человека согласно МНГП.</w:t>
      </w:r>
    </w:p>
    <w:p>
      <w:pPr>
        <w:pStyle w:val="30"/>
        <w:shd w:val="clear"/>
        <w:spacing w:line="276" w:lineRule="auto"/>
        <w:rPr>
          <w:b/>
          <w:highlight w:val="none"/>
        </w:rPr>
      </w:pPr>
    </w:p>
    <w:p>
      <w:pPr>
        <w:pStyle w:val="30"/>
        <w:shd w:val="clear"/>
        <w:spacing w:line="276" w:lineRule="auto"/>
        <w:rPr>
          <w:b/>
          <w:highlight w:val="none"/>
        </w:rPr>
      </w:pPr>
      <w:r>
        <w:rPr>
          <w:b/>
          <w:highlight w:val="none"/>
        </w:rPr>
        <w:t>Зоны с особыми условиями использования территории</w:t>
      </w:r>
      <w:bookmarkEnd w:id="25"/>
    </w:p>
    <w:p>
      <w:pPr>
        <w:shd w:val="clear"/>
        <w:spacing w:line="276" w:lineRule="auto"/>
        <w:rPr>
          <w:highlight w:val="none"/>
        </w:rPr>
      </w:pPr>
    </w:p>
    <w:p>
      <w:pPr>
        <w:pStyle w:val="30"/>
        <w:shd w:val="clear"/>
        <w:rPr>
          <w:highlight w:val="none"/>
        </w:rPr>
      </w:pPr>
      <w:r>
        <w:rPr>
          <w:highlight w:val="none"/>
        </w:rPr>
        <w:t>На основании требований Градостроительного кодекса Российской Федерации, Земельного Кодекса Российской Федерации в Проекте планировки территории подлежат отображению зоны с особыми условиями использования территории, являющиеся планировочными ограничениями.</w:t>
      </w:r>
    </w:p>
    <w:p>
      <w:pPr>
        <w:pStyle w:val="30"/>
        <w:shd w:val="clear"/>
        <w:rPr>
          <w:highlight w:val="none"/>
        </w:rPr>
      </w:pPr>
      <w:r>
        <w:rPr>
          <w:highlight w:val="none"/>
        </w:rPr>
        <w:t>В границах проекта планировки установлены следующие зоны с особыми условиями использования территории:</w:t>
      </w:r>
    </w:p>
    <w:p>
      <w:pPr>
        <w:pStyle w:val="30"/>
        <w:numPr>
          <w:ilvl w:val="0"/>
          <w:numId w:val="3"/>
        </w:numPr>
        <w:shd w:val="clear"/>
        <w:rPr>
          <w:highlight w:val="none"/>
        </w:rPr>
      </w:pPr>
      <w:r>
        <w:rPr>
          <w:highlight w:val="none"/>
        </w:rPr>
        <w:t>водоохранные зоны, прибрежные защитные и береговые полосы;</w:t>
      </w:r>
    </w:p>
    <w:p>
      <w:pPr>
        <w:pStyle w:val="30"/>
        <w:numPr>
          <w:ilvl w:val="0"/>
          <w:numId w:val="3"/>
        </w:numPr>
        <w:shd w:val="clear"/>
        <w:rPr>
          <w:highlight w:val="none"/>
        </w:rPr>
      </w:pPr>
      <w:r>
        <w:rPr>
          <w:highlight w:val="none"/>
        </w:rPr>
        <w:t>охранная зона объектов электроэнергетики;</w:t>
      </w:r>
    </w:p>
    <w:p>
      <w:pPr>
        <w:pStyle w:val="30"/>
        <w:numPr>
          <w:ilvl w:val="0"/>
          <w:numId w:val="3"/>
        </w:numPr>
        <w:shd w:val="clear"/>
        <w:rPr>
          <w:highlight w:val="none"/>
        </w:rPr>
      </w:pPr>
      <w:r>
        <w:rPr>
          <w:highlight w:val="none"/>
        </w:rPr>
        <w:t>охранные зоны сетей газоснабжения;</w:t>
      </w:r>
    </w:p>
    <w:p>
      <w:pPr>
        <w:pStyle w:val="30"/>
        <w:numPr>
          <w:ilvl w:val="0"/>
          <w:numId w:val="3"/>
        </w:numPr>
        <w:shd w:val="clear"/>
        <w:rPr>
          <w:highlight w:val="none"/>
        </w:rPr>
      </w:pPr>
      <w:r>
        <w:rPr>
          <w:highlight w:val="none"/>
        </w:rPr>
        <w:t>зоны санитарной охраны источников водоснабжения,</w:t>
      </w:r>
    </w:p>
    <w:p>
      <w:pPr>
        <w:pStyle w:val="30"/>
        <w:numPr>
          <w:ilvl w:val="0"/>
          <w:numId w:val="3"/>
        </w:numPr>
        <w:shd w:val="clear"/>
        <w:rPr>
          <w:highlight w:val="none"/>
        </w:rPr>
      </w:pPr>
      <w:r>
        <w:rPr>
          <w:highlight w:val="none"/>
        </w:rPr>
        <w:t>приаэродромная территория;</w:t>
      </w:r>
    </w:p>
    <w:p>
      <w:pPr>
        <w:pStyle w:val="30"/>
        <w:numPr>
          <w:ilvl w:val="0"/>
          <w:numId w:val="3"/>
        </w:numPr>
        <w:shd w:val="clear"/>
        <w:rPr>
          <w:highlight w:val="none"/>
        </w:rPr>
      </w:pPr>
      <w:r>
        <w:rPr>
          <w:highlight w:val="none"/>
        </w:rPr>
        <w:t>Охранные зоны линий и сооружений связи.</w:t>
      </w:r>
    </w:p>
    <w:p>
      <w:pPr>
        <w:pStyle w:val="30"/>
        <w:shd w:val="clear"/>
        <w:spacing w:line="276" w:lineRule="auto"/>
        <w:rPr>
          <w:szCs w:val="24"/>
          <w:highlight w:val="none"/>
        </w:rPr>
      </w:pPr>
    </w:p>
    <w:p>
      <w:pPr>
        <w:keepNext/>
        <w:shd w:val="clear"/>
        <w:ind w:firstLine="567"/>
        <w:rPr>
          <w:b/>
          <w:sz w:val="24"/>
          <w:szCs w:val="24"/>
          <w:highlight w:val="none"/>
        </w:rPr>
      </w:pPr>
      <w:bookmarkStart w:id="26" w:name="_Toc64545359"/>
      <w:r>
        <w:rPr>
          <w:b/>
          <w:sz w:val="24"/>
          <w:szCs w:val="24"/>
          <w:highlight w:val="none"/>
        </w:rPr>
        <w:t>Водоохранные зоны, прибрежные защитные и береговые полосы водных объектов</w:t>
      </w:r>
      <w:bookmarkEnd w:id="26"/>
    </w:p>
    <w:p>
      <w:pPr>
        <w:pStyle w:val="30"/>
        <w:shd w:val="clear"/>
        <w:rPr>
          <w:highlight w:val="none"/>
        </w:rPr>
      </w:pPr>
      <w:r>
        <w:rPr>
          <w:highlight w:val="none"/>
        </w:rPr>
        <w:t>Согласно п. 1 ст. 65 Водного Кодекса РФ (от 03.06.2006 N 74-ФЗ), 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pPr>
        <w:pStyle w:val="30"/>
        <w:shd w:val="clear"/>
        <w:rPr>
          <w:highlight w:val="none"/>
        </w:rPr>
      </w:pPr>
      <w:r>
        <w:rPr>
          <w:highlight w:val="none"/>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pPr>
        <w:pStyle w:val="30"/>
        <w:shd w:val="clear"/>
        <w:rPr>
          <w:highlight w:val="none"/>
        </w:rPr>
      </w:pPr>
      <w:r>
        <w:rPr>
          <w:highlight w:val="none"/>
        </w:rPr>
        <w:t>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pPr>
        <w:pStyle w:val="30"/>
        <w:shd w:val="clear"/>
        <w:rPr>
          <w:highlight w:val="none"/>
        </w:rPr>
      </w:pPr>
      <w:r>
        <w:rPr>
          <w:highlight w:val="none"/>
        </w:rPr>
        <w:t>Ширина водоохранной зоны рек или ручьев устанавливается от их истока для рек или ручьев протяженностью:</w:t>
      </w:r>
    </w:p>
    <w:p>
      <w:pPr>
        <w:numPr>
          <w:ilvl w:val="0"/>
          <w:numId w:val="4"/>
        </w:numPr>
        <w:shd w:val="clear"/>
        <w:autoSpaceDE w:val="0"/>
        <w:autoSpaceDN w:val="0"/>
        <w:adjustRightInd w:val="0"/>
        <w:spacing w:before="120" w:after="120" w:line="276" w:lineRule="auto"/>
        <w:ind w:left="709"/>
        <w:rPr>
          <w:sz w:val="24"/>
          <w:szCs w:val="24"/>
          <w:highlight w:val="none"/>
        </w:rPr>
      </w:pPr>
      <w:r>
        <w:rPr>
          <w:sz w:val="24"/>
          <w:szCs w:val="24"/>
          <w:highlight w:val="none"/>
        </w:rPr>
        <w:t>до десяти километров – в размере 50 м;</w:t>
      </w:r>
    </w:p>
    <w:p>
      <w:pPr>
        <w:numPr>
          <w:ilvl w:val="0"/>
          <w:numId w:val="4"/>
        </w:numPr>
        <w:shd w:val="clear"/>
        <w:autoSpaceDE w:val="0"/>
        <w:autoSpaceDN w:val="0"/>
        <w:adjustRightInd w:val="0"/>
        <w:spacing w:before="120" w:after="120" w:line="276" w:lineRule="auto"/>
        <w:ind w:left="709"/>
        <w:rPr>
          <w:sz w:val="24"/>
          <w:szCs w:val="24"/>
          <w:highlight w:val="none"/>
        </w:rPr>
      </w:pPr>
      <w:r>
        <w:rPr>
          <w:sz w:val="24"/>
          <w:szCs w:val="24"/>
          <w:highlight w:val="none"/>
        </w:rPr>
        <w:t>от десяти до пятидесяти километров – в размере 100 м;</w:t>
      </w:r>
    </w:p>
    <w:p>
      <w:pPr>
        <w:numPr>
          <w:ilvl w:val="0"/>
          <w:numId w:val="4"/>
        </w:numPr>
        <w:shd w:val="clear"/>
        <w:autoSpaceDE w:val="0"/>
        <w:autoSpaceDN w:val="0"/>
        <w:adjustRightInd w:val="0"/>
        <w:spacing w:before="120" w:after="120" w:line="276" w:lineRule="auto"/>
        <w:ind w:left="709"/>
        <w:rPr>
          <w:sz w:val="24"/>
          <w:szCs w:val="24"/>
          <w:highlight w:val="none"/>
        </w:rPr>
      </w:pPr>
      <w:r>
        <w:rPr>
          <w:sz w:val="24"/>
          <w:szCs w:val="24"/>
          <w:highlight w:val="none"/>
        </w:rPr>
        <w:t>от пятидесяти километров и более – в размере 200 м.</w:t>
      </w:r>
    </w:p>
    <w:p>
      <w:pPr>
        <w:shd w:val="clear"/>
        <w:autoSpaceDE w:val="0"/>
        <w:autoSpaceDN w:val="0"/>
        <w:adjustRightInd w:val="0"/>
        <w:spacing w:before="120" w:after="120" w:line="276" w:lineRule="auto"/>
        <w:rPr>
          <w:sz w:val="24"/>
          <w:szCs w:val="24"/>
          <w:highlight w:val="none"/>
        </w:rPr>
      </w:pPr>
      <w:r>
        <w:rPr>
          <w:sz w:val="24"/>
          <w:szCs w:val="24"/>
          <w:highlight w:val="none"/>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pPr>
        <w:shd w:val="clear"/>
        <w:autoSpaceDE w:val="0"/>
        <w:autoSpaceDN w:val="0"/>
        <w:adjustRightInd w:val="0"/>
        <w:spacing w:before="120" w:after="120" w:line="276" w:lineRule="auto"/>
        <w:rPr>
          <w:sz w:val="24"/>
          <w:szCs w:val="24"/>
          <w:highlight w:val="none"/>
        </w:rPr>
      </w:pPr>
      <w:r>
        <w:rPr>
          <w:sz w:val="24"/>
          <w:szCs w:val="24"/>
          <w:highlight w:val="none"/>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pPr>
        <w:shd w:val="clear"/>
        <w:autoSpaceDE w:val="0"/>
        <w:autoSpaceDN w:val="0"/>
        <w:adjustRightInd w:val="0"/>
        <w:spacing w:before="120" w:after="120" w:line="276" w:lineRule="auto"/>
        <w:rPr>
          <w:sz w:val="24"/>
          <w:szCs w:val="24"/>
          <w:highlight w:val="none"/>
        </w:rPr>
      </w:pPr>
      <w:r>
        <w:rPr>
          <w:sz w:val="24"/>
          <w:szCs w:val="24"/>
          <w:highlight w:val="none"/>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200 м независимо от уклона прилегающих земель.</w:t>
      </w:r>
    </w:p>
    <w:p>
      <w:pPr>
        <w:shd w:val="clear"/>
        <w:autoSpaceDE w:val="0"/>
        <w:autoSpaceDN w:val="0"/>
        <w:adjustRightInd w:val="0"/>
        <w:spacing w:before="120" w:after="120" w:line="276" w:lineRule="auto"/>
        <w:rPr>
          <w:sz w:val="24"/>
          <w:szCs w:val="24"/>
          <w:highlight w:val="none"/>
        </w:rPr>
      </w:pPr>
      <w:r>
        <w:rPr>
          <w:sz w:val="24"/>
          <w:szCs w:val="24"/>
          <w:highlight w:val="none"/>
        </w:rPr>
        <w:t xml:space="preserve">Вдоль береговой линии водного объекта общего пользования выделяется береговая полоса, которая предназначена для общего пользования. Ширина береговой полосы водных объектов общего пользования составляет 20 м, за исключением береговой полосы каналов, а также рек и ручьев, протяженность которых от истока до устья не более чем 10 км. Ширина береговой полосы каналов, а также рек и ручьев, протяженность которых от истока до устья не более чем десять километров, составляет 5 м. </w:t>
      </w:r>
    </w:p>
    <w:p>
      <w:pPr>
        <w:shd w:val="clear"/>
        <w:autoSpaceDE w:val="0"/>
        <w:autoSpaceDN w:val="0"/>
        <w:adjustRightInd w:val="0"/>
        <w:spacing w:before="120" w:after="120" w:line="276" w:lineRule="auto"/>
        <w:rPr>
          <w:sz w:val="24"/>
          <w:szCs w:val="24"/>
          <w:highlight w:val="none"/>
        </w:rPr>
      </w:pPr>
      <w:r>
        <w:rPr>
          <w:sz w:val="24"/>
          <w:szCs w:val="24"/>
          <w:highlight w:val="none"/>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pPr>
        <w:shd w:val="clear"/>
        <w:autoSpaceDE w:val="0"/>
        <w:autoSpaceDN w:val="0"/>
        <w:adjustRightInd w:val="0"/>
        <w:spacing w:before="120" w:after="120" w:line="276" w:lineRule="auto"/>
        <w:rPr>
          <w:sz w:val="24"/>
          <w:szCs w:val="24"/>
          <w:highlight w:val="none"/>
        </w:rPr>
      </w:pPr>
      <w:r>
        <w:rPr>
          <w:sz w:val="24"/>
          <w:szCs w:val="24"/>
          <w:highlight w:val="none"/>
        </w:rPr>
        <w:t>Гидрография в рассматриваемой в проекте территории представлена только безымянным ручьем.</w:t>
      </w:r>
    </w:p>
    <w:p>
      <w:pPr>
        <w:shd w:val="clear"/>
        <w:autoSpaceDE w:val="0"/>
        <w:autoSpaceDN w:val="0"/>
        <w:adjustRightInd w:val="0"/>
        <w:spacing w:before="120" w:after="120" w:line="276" w:lineRule="auto"/>
        <w:rPr>
          <w:bCs/>
          <w:sz w:val="24"/>
          <w:szCs w:val="24"/>
          <w:highlight w:val="none"/>
        </w:rPr>
      </w:pPr>
      <w:r>
        <w:rPr>
          <w:bCs/>
          <w:sz w:val="24"/>
          <w:szCs w:val="24"/>
          <w:highlight w:val="none"/>
        </w:rPr>
        <w:t xml:space="preserve">Таблица– </w:t>
      </w:r>
      <w:r>
        <w:rPr>
          <w:sz w:val="24"/>
          <w:szCs w:val="24"/>
          <w:highlight w:val="none"/>
        </w:rPr>
        <w:t>Характеристика водоохранной зоны, прибрежной защитной и береговой полосы</w:t>
      </w:r>
    </w:p>
    <w:p>
      <w:pPr>
        <w:shd w:val="clear"/>
        <w:tabs>
          <w:tab w:val="left" w:pos="8010"/>
        </w:tabs>
        <w:spacing w:line="14" w:lineRule="auto"/>
        <w:rPr>
          <w:rFonts w:eastAsia="Arial Unicode MS"/>
          <w:sz w:val="20"/>
          <w:highlight w:val="none"/>
        </w:rPr>
      </w:pPr>
    </w:p>
    <w:tbl>
      <w:tblPr>
        <w:tblStyle w:val="7"/>
        <w:tblW w:w="478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2486"/>
        <w:gridCol w:w="1678"/>
        <w:gridCol w:w="1812"/>
        <w:gridCol w:w="1394"/>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9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val="0"/>
              <w:shd w:val="clear"/>
              <w:autoSpaceDE w:val="0"/>
              <w:autoSpaceDN w:val="0"/>
              <w:adjustRightInd w:val="0"/>
              <w:ind w:firstLine="0"/>
              <w:jc w:val="center"/>
              <w:rPr>
                <w:rFonts w:eastAsia="Calibri"/>
                <w:b/>
                <w:sz w:val="20"/>
                <w:szCs w:val="20"/>
                <w:highlight w:val="none"/>
              </w:rPr>
            </w:pPr>
            <w:r>
              <w:rPr>
                <w:rFonts w:eastAsia="Calibri"/>
                <w:b/>
                <w:sz w:val="20"/>
                <w:szCs w:val="20"/>
                <w:highlight w:val="none"/>
              </w:rPr>
              <w:t>№</w:t>
            </w:r>
          </w:p>
        </w:tc>
        <w:tc>
          <w:tcPr>
            <w:tcW w:w="135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val="0"/>
              <w:shd w:val="clear"/>
              <w:autoSpaceDE w:val="0"/>
              <w:autoSpaceDN w:val="0"/>
              <w:adjustRightInd w:val="0"/>
              <w:ind w:firstLine="0"/>
              <w:jc w:val="center"/>
              <w:rPr>
                <w:rFonts w:eastAsia="Calibri"/>
                <w:b/>
                <w:sz w:val="20"/>
                <w:szCs w:val="20"/>
                <w:highlight w:val="none"/>
              </w:rPr>
            </w:pPr>
            <w:r>
              <w:rPr>
                <w:rFonts w:eastAsia="Calibri"/>
                <w:b/>
                <w:sz w:val="20"/>
                <w:szCs w:val="20"/>
                <w:highlight w:val="none"/>
              </w:rPr>
              <w:t>Название водотока/озера</w:t>
            </w:r>
          </w:p>
        </w:tc>
        <w:tc>
          <w:tcPr>
            <w:tcW w:w="91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val="0"/>
              <w:shd w:val="clear"/>
              <w:autoSpaceDE w:val="0"/>
              <w:autoSpaceDN w:val="0"/>
              <w:adjustRightInd w:val="0"/>
              <w:ind w:firstLine="0"/>
              <w:jc w:val="center"/>
              <w:rPr>
                <w:rFonts w:eastAsia="Calibri"/>
                <w:b/>
                <w:sz w:val="20"/>
                <w:szCs w:val="20"/>
                <w:highlight w:val="none"/>
              </w:rPr>
            </w:pPr>
            <w:r>
              <w:rPr>
                <w:rFonts w:eastAsia="Calibri"/>
                <w:b/>
                <w:sz w:val="20"/>
                <w:szCs w:val="20"/>
                <w:highlight w:val="none"/>
              </w:rPr>
              <w:t>Общая протяженность/площадь, км</w:t>
            </w:r>
          </w:p>
        </w:tc>
        <w:tc>
          <w:tcPr>
            <w:tcW w:w="98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val="0"/>
              <w:shd w:val="clear"/>
              <w:autoSpaceDE w:val="0"/>
              <w:autoSpaceDN w:val="0"/>
              <w:adjustRightInd w:val="0"/>
              <w:ind w:firstLine="0"/>
              <w:jc w:val="center"/>
              <w:rPr>
                <w:rFonts w:eastAsia="Calibri"/>
                <w:b/>
                <w:sz w:val="20"/>
                <w:szCs w:val="20"/>
                <w:highlight w:val="none"/>
              </w:rPr>
            </w:pPr>
            <w:r>
              <w:rPr>
                <w:rFonts w:eastAsia="Calibri"/>
                <w:b/>
                <w:sz w:val="20"/>
                <w:szCs w:val="20"/>
                <w:highlight w:val="none"/>
              </w:rPr>
              <w:t>Ширина водоохранной зоны, м</w:t>
            </w:r>
          </w:p>
        </w:tc>
        <w:tc>
          <w:tcPr>
            <w:tcW w:w="76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val="0"/>
              <w:shd w:val="clear"/>
              <w:autoSpaceDE w:val="0"/>
              <w:autoSpaceDN w:val="0"/>
              <w:adjustRightInd w:val="0"/>
              <w:ind w:firstLine="0"/>
              <w:jc w:val="center"/>
              <w:rPr>
                <w:rFonts w:eastAsia="Calibri"/>
                <w:b/>
                <w:sz w:val="20"/>
                <w:szCs w:val="20"/>
                <w:highlight w:val="none"/>
              </w:rPr>
            </w:pPr>
            <w:r>
              <w:rPr>
                <w:rFonts w:eastAsia="Calibri"/>
                <w:b/>
                <w:sz w:val="20"/>
                <w:szCs w:val="20"/>
                <w:highlight w:val="none"/>
              </w:rPr>
              <w:t>Прибрежная защитная полоса, м</w:t>
            </w:r>
          </w:p>
        </w:tc>
        <w:tc>
          <w:tcPr>
            <w:tcW w:w="68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val="0"/>
              <w:shd w:val="clear"/>
              <w:autoSpaceDE w:val="0"/>
              <w:autoSpaceDN w:val="0"/>
              <w:adjustRightInd w:val="0"/>
              <w:jc w:val="center"/>
              <w:rPr>
                <w:rFonts w:eastAsia="Calibri"/>
                <w:b/>
                <w:sz w:val="20"/>
                <w:szCs w:val="20"/>
                <w:highlight w:val="none"/>
              </w:rPr>
            </w:pPr>
            <w:r>
              <w:rPr>
                <w:rFonts w:eastAsia="Calibri"/>
                <w:b/>
                <w:sz w:val="20"/>
                <w:szCs w:val="20"/>
                <w:highlight w:val="none"/>
              </w:rPr>
              <w:t>Ширина береговой полосы, 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 w:type="pct"/>
            <w:shd w:val="clear" w:color="auto" w:fill="auto"/>
            <w:vAlign w:val="center"/>
          </w:tcPr>
          <w:p>
            <w:pPr>
              <w:pStyle w:val="22"/>
              <w:widowControl w:val="0"/>
              <w:numPr>
                <w:ilvl w:val="0"/>
                <w:numId w:val="5"/>
              </w:numPr>
              <w:shd w:val="clear"/>
              <w:autoSpaceDE w:val="0"/>
              <w:autoSpaceDN w:val="0"/>
              <w:adjustRightInd w:val="0"/>
              <w:ind w:left="0" w:firstLine="0"/>
              <w:contextualSpacing w:val="0"/>
              <w:jc w:val="center"/>
              <w:rPr>
                <w:rFonts w:eastAsia="Calibri"/>
                <w:sz w:val="20"/>
                <w:szCs w:val="20"/>
                <w:highlight w:val="none"/>
              </w:rPr>
            </w:pPr>
          </w:p>
        </w:tc>
        <w:tc>
          <w:tcPr>
            <w:tcW w:w="135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val="0"/>
              <w:shd w:val="clear"/>
              <w:autoSpaceDE w:val="0"/>
              <w:autoSpaceDN w:val="0"/>
              <w:adjustRightInd w:val="0"/>
              <w:ind w:firstLine="0"/>
              <w:jc w:val="center"/>
              <w:rPr>
                <w:rFonts w:eastAsia="Calibri"/>
                <w:sz w:val="20"/>
                <w:szCs w:val="20"/>
                <w:highlight w:val="none"/>
              </w:rPr>
            </w:pPr>
            <w:r>
              <w:rPr>
                <w:rFonts w:eastAsia="Calibri"/>
                <w:sz w:val="20"/>
                <w:szCs w:val="20"/>
                <w:highlight w:val="none"/>
              </w:rPr>
              <w:t>ручей</w:t>
            </w:r>
          </w:p>
        </w:tc>
        <w:tc>
          <w:tcPr>
            <w:tcW w:w="91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val="0"/>
              <w:shd w:val="clear"/>
              <w:autoSpaceDE w:val="0"/>
              <w:autoSpaceDN w:val="0"/>
              <w:adjustRightInd w:val="0"/>
              <w:ind w:firstLine="0"/>
              <w:jc w:val="center"/>
              <w:rPr>
                <w:rFonts w:eastAsia="Calibri"/>
                <w:sz w:val="20"/>
                <w:szCs w:val="20"/>
                <w:highlight w:val="none"/>
              </w:rPr>
            </w:pPr>
            <w:r>
              <w:rPr>
                <w:rFonts w:eastAsia="Calibri"/>
                <w:sz w:val="20"/>
                <w:szCs w:val="20"/>
                <w:highlight w:val="none"/>
              </w:rPr>
              <w:t>1,8</w:t>
            </w:r>
          </w:p>
        </w:tc>
        <w:tc>
          <w:tcPr>
            <w:tcW w:w="98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val="0"/>
              <w:shd w:val="clear"/>
              <w:autoSpaceDE w:val="0"/>
              <w:autoSpaceDN w:val="0"/>
              <w:adjustRightInd w:val="0"/>
              <w:ind w:firstLine="0"/>
              <w:jc w:val="center"/>
              <w:rPr>
                <w:rFonts w:eastAsia="Calibri"/>
                <w:sz w:val="20"/>
                <w:szCs w:val="20"/>
                <w:highlight w:val="none"/>
              </w:rPr>
            </w:pPr>
            <w:r>
              <w:rPr>
                <w:rFonts w:eastAsia="Calibri"/>
                <w:sz w:val="20"/>
                <w:szCs w:val="20"/>
                <w:highlight w:val="none"/>
              </w:rPr>
              <w:t>50</w:t>
            </w:r>
          </w:p>
        </w:tc>
        <w:tc>
          <w:tcPr>
            <w:tcW w:w="76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val="0"/>
              <w:shd w:val="clear"/>
              <w:autoSpaceDE w:val="0"/>
              <w:autoSpaceDN w:val="0"/>
              <w:adjustRightInd w:val="0"/>
              <w:ind w:firstLine="0"/>
              <w:jc w:val="center"/>
              <w:rPr>
                <w:rFonts w:eastAsia="Calibri"/>
                <w:sz w:val="20"/>
                <w:szCs w:val="20"/>
                <w:highlight w:val="none"/>
              </w:rPr>
            </w:pPr>
            <w:r>
              <w:rPr>
                <w:rFonts w:eastAsia="Calibri"/>
                <w:sz w:val="20"/>
                <w:szCs w:val="20"/>
                <w:highlight w:val="none"/>
              </w:rPr>
              <w:t>50</w:t>
            </w:r>
          </w:p>
        </w:tc>
        <w:tc>
          <w:tcPr>
            <w:tcW w:w="686" w:type="pct"/>
            <w:shd w:val="clear" w:color="auto" w:fill="auto"/>
            <w:vAlign w:val="center"/>
          </w:tcPr>
          <w:p>
            <w:pPr>
              <w:widowControl w:val="0"/>
              <w:shd w:val="clear"/>
              <w:autoSpaceDE w:val="0"/>
              <w:autoSpaceDN w:val="0"/>
              <w:adjustRightInd w:val="0"/>
              <w:jc w:val="center"/>
              <w:rPr>
                <w:rFonts w:eastAsia="Calibri"/>
                <w:sz w:val="20"/>
                <w:szCs w:val="20"/>
                <w:highlight w:val="none"/>
              </w:rPr>
            </w:pPr>
            <w:r>
              <w:rPr>
                <w:rFonts w:eastAsia="Calibri"/>
                <w:sz w:val="20"/>
                <w:szCs w:val="20"/>
                <w:highlight w:val="none"/>
              </w:rPr>
              <w:t>5</w:t>
            </w:r>
          </w:p>
        </w:tc>
      </w:tr>
    </w:tbl>
    <w:p>
      <w:pPr>
        <w:shd w:val="clear"/>
        <w:autoSpaceDE w:val="0"/>
        <w:autoSpaceDN w:val="0"/>
        <w:adjustRightInd w:val="0"/>
        <w:spacing w:before="120" w:after="120" w:line="276" w:lineRule="auto"/>
        <w:rPr>
          <w:sz w:val="24"/>
          <w:szCs w:val="24"/>
          <w:highlight w:val="none"/>
        </w:rPr>
      </w:pPr>
      <w:r>
        <w:rPr>
          <w:sz w:val="24"/>
          <w:szCs w:val="24"/>
          <w:highlight w:val="none"/>
        </w:rPr>
        <w:t>Допустимые и запрещенные действия в пределах водоохранных зон и прибрежных защитных полос приведены в следующей таблице.</w:t>
      </w:r>
    </w:p>
    <w:p>
      <w:pPr>
        <w:shd w:val="clear"/>
        <w:autoSpaceDE w:val="0"/>
        <w:autoSpaceDN w:val="0"/>
        <w:adjustRightInd w:val="0"/>
        <w:spacing w:before="120" w:after="120" w:line="276" w:lineRule="auto"/>
        <w:rPr>
          <w:bCs/>
          <w:sz w:val="24"/>
          <w:szCs w:val="24"/>
          <w:highlight w:val="none"/>
        </w:rPr>
      </w:pPr>
      <w:bookmarkStart w:id="27" w:name="_Ref296823443"/>
      <w:r>
        <w:rPr>
          <w:bCs/>
          <w:sz w:val="24"/>
          <w:szCs w:val="24"/>
          <w:highlight w:val="none"/>
        </w:rPr>
        <w:t>Таблица</w:t>
      </w:r>
      <w:bookmarkEnd w:id="27"/>
      <w:r>
        <w:rPr>
          <w:bCs/>
          <w:sz w:val="24"/>
          <w:szCs w:val="24"/>
          <w:highlight w:val="none"/>
        </w:rPr>
        <w:t xml:space="preserve"> – Регламенты использования территории водоохранных зон, прибрежных защитных и береговых полос</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3832"/>
        <w:gridCol w:w="3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019" w:type="pct"/>
            <w:vAlign w:val="center"/>
          </w:tcPr>
          <w:p>
            <w:pPr>
              <w:pStyle w:val="56"/>
              <w:shd w:val="clear"/>
              <w:ind w:left="0"/>
              <w:jc w:val="center"/>
              <w:rPr>
                <w:highlight w:val="none"/>
              </w:rPr>
            </w:pPr>
            <w:r>
              <w:rPr>
                <w:highlight w:val="none"/>
              </w:rPr>
              <w:t>Зона</w:t>
            </w:r>
          </w:p>
        </w:tc>
        <w:tc>
          <w:tcPr>
            <w:tcW w:w="2002" w:type="pct"/>
          </w:tcPr>
          <w:p>
            <w:pPr>
              <w:pStyle w:val="56"/>
              <w:shd w:val="clear"/>
              <w:ind w:left="0"/>
              <w:jc w:val="center"/>
              <w:rPr>
                <w:highlight w:val="none"/>
              </w:rPr>
            </w:pPr>
            <w:r>
              <w:rPr>
                <w:highlight w:val="none"/>
              </w:rPr>
              <w:t>Запрещается</w:t>
            </w:r>
          </w:p>
        </w:tc>
        <w:tc>
          <w:tcPr>
            <w:tcW w:w="1979" w:type="pct"/>
          </w:tcPr>
          <w:p>
            <w:pPr>
              <w:pStyle w:val="56"/>
              <w:shd w:val="clear"/>
              <w:ind w:left="0"/>
              <w:jc w:val="center"/>
              <w:rPr>
                <w:highlight w:val="none"/>
              </w:rPr>
            </w:pPr>
            <w:r>
              <w:rPr>
                <w:highlight w:val="none"/>
              </w:rPr>
              <w:t>Допускается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 w:type="pct"/>
          </w:tcPr>
          <w:p>
            <w:pPr>
              <w:pStyle w:val="68"/>
              <w:shd w:val="clear"/>
              <w:rPr>
                <w:sz w:val="20"/>
                <w:highlight w:val="none"/>
              </w:rPr>
            </w:pPr>
            <w:r>
              <w:rPr>
                <w:sz w:val="20"/>
                <w:highlight w:val="none"/>
              </w:rPr>
              <w:t>Водоохранная зона</w:t>
            </w:r>
          </w:p>
        </w:tc>
        <w:tc>
          <w:tcPr>
            <w:tcW w:w="2002" w:type="pct"/>
          </w:tcPr>
          <w:p>
            <w:pPr>
              <w:pStyle w:val="68"/>
              <w:shd w:val="clear"/>
              <w:jc w:val="both"/>
              <w:rPr>
                <w:sz w:val="20"/>
                <w:highlight w:val="none"/>
              </w:rPr>
            </w:pPr>
            <w:r>
              <w:rPr>
                <w:sz w:val="20"/>
                <w:highlight w:val="none"/>
              </w:rPr>
              <w:t>1) использование сточных вод в целях регулирования плодородия почв;</w:t>
            </w:r>
          </w:p>
          <w:p>
            <w:pPr>
              <w:shd w:val="clear"/>
              <w:rPr>
                <w:sz w:val="20"/>
                <w:szCs w:val="20"/>
                <w:highlight w:val="none"/>
              </w:rPr>
            </w:pPr>
            <w:r>
              <w:rPr>
                <w:sz w:val="20"/>
                <w:szCs w:val="20"/>
                <w:highlight w:val="none"/>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pPr>
              <w:shd w:val="clear"/>
              <w:rPr>
                <w:sz w:val="20"/>
                <w:szCs w:val="20"/>
                <w:highlight w:val="none"/>
              </w:rPr>
            </w:pPr>
            <w:r>
              <w:rPr>
                <w:sz w:val="20"/>
                <w:szCs w:val="20"/>
                <w:highlight w:val="none"/>
              </w:rPr>
              <w:t>3) осуществление авиационных мер по борьбе с вредными организмами;</w:t>
            </w:r>
          </w:p>
          <w:p>
            <w:pPr>
              <w:shd w:val="clear"/>
              <w:rPr>
                <w:sz w:val="20"/>
                <w:szCs w:val="20"/>
                <w:highlight w:val="none"/>
              </w:rPr>
            </w:pPr>
            <w:r>
              <w:rPr>
                <w:sz w:val="20"/>
                <w:szCs w:val="20"/>
                <w:highlight w:val="none"/>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pPr>
              <w:shd w:val="clear"/>
              <w:rPr>
                <w:sz w:val="20"/>
                <w:szCs w:val="20"/>
                <w:highlight w:val="none"/>
              </w:rPr>
            </w:pPr>
            <w:r>
              <w:rPr>
                <w:sz w:val="20"/>
                <w:szCs w:val="20"/>
                <w:highlight w:val="none"/>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pPr>
              <w:shd w:val="clear"/>
              <w:rPr>
                <w:sz w:val="20"/>
                <w:szCs w:val="20"/>
                <w:highlight w:val="none"/>
              </w:rPr>
            </w:pPr>
            <w:r>
              <w:rPr>
                <w:sz w:val="20"/>
                <w:szCs w:val="20"/>
                <w:highlight w:val="none"/>
              </w:rPr>
              <w:t>6) размещение специализированных хранилищ пестицидов и агрохимикатов, применение пестицидов и агрохимикатов;</w:t>
            </w:r>
          </w:p>
          <w:p>
            <w:pPr>
              <w:shd w:val="clear"/>
              <w:rPr>
                <w:sz w:val="20"/>
                <w:szCs w:val="20"/>
                <w:highlight w:val="none"/>
              </w:rPr>
            </w:pPr>
            <w:r>
              <w:rPr>
                <w:sz w:val="20"/>
                <w:szCs w:val="20"/>
                <w:highlight w:val="none"/>
              </w:rPr>
              <w:t>7) сброс сточных, в том числе дренажных, вод;</w:t>
            </w:r>
          </w:p>
          <w:p>
            <w:pPr>
              <w:shd w:val="clear"/>
              <w:rPr>
                <w:sz w:val="20"/>
                <w:szCs w:val="20"/>
                <w:highlight w:val="none"/>
              </w:rPr>
            </w:pPr>
            <w:r>
              <w:rPr>
                <w:sz w:val="20"/>
                <w:szCs w:val="20"/>
                <w:highlight w:val="none"/>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tc>
        <w:tc>
          <w:tcPr>
            <w:tcW w:w="1979" w:type="pct"/>
          </w:tcPr>
          <w:p>
            <w:pPr>
              <w:pStyle w:val="68"/>
              <w:shd w:val="clear"/>
              <w:jc w:val="both"/>
              <w:rPr>
                <w:sz w:val="20"/>
                <w:highlight w:val="none"/>
              </w:rPr>
            </w:pPr>
            <w:r>
              <w:rPr>
                <w:sz w:val="20"/>
                <w:highlight w:val="none"/>
              </w:rPr>
              <w:t>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pPr>
              <w:pStyle w:val="68"/>
              <w:shd w:val="clear"/>
              <w:jc w:val="both"/>
              <w:rPr>
                <w:sz w:val="20"/>
                <w:highlight w:val="none"/>
              </w:rPr>
            </w:pPr>
            <w:r>
              <w:rPr>
                <w:sz w:val="20"/>
                <w:highlight w:val="none"/>
              </w:rPr>
              <w:t>1) централизованные системы водоотведения (канализации), централизованные ливневые системы водоотведения;</w:t>
            </w:r>
          </w:p>
          <w:p>
            <w:pPr>
              <w:pStyle w:val="68"/>
              <w:shd w:val="clear"/>
              <w:jc w:val="both"/>
              <w:rPr>
                <w:sz w:val="20"/>
                <w:highlight w:val="none"/>
              </w:rPr>
            </w:pPr>
            <w:r>
              <w:rPr>
                <w:sz w:val="20"/>
                <w:highlight w:val="none"/>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pPr>
              <w:pStyle w:val="68"/>
              <w:shd w:val="clear"/>
              <w:jc w:val="both"/>
              <w:rPr>
                <w:sz w:val="20"/>
                <w:highlight w:val="none"/>
              </w:rPr>
            </w:pPr>
            <w:r>
              <w:rPr>
                <w:sz w:val="20"/>
                <w:highlight w:val="none"/>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pPr>
              <w:pStyle w:val="68"/>
              <w:shd w:val="clear"/>
              <w:jc w:val="both"/>
              <w:rPr>
                <w:sz w:val="20"/>
                <w:highlight w:val="none"/>
              </w:rPr>
            </w:pPr>
            <w:r>
              <w:rPr>
                <w:sz w:val="20"/>
                <w:highlight w:val="none"/>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pPr>
              <w:pStyle w:val="68"/>
              <w:shd w:val="clear"/>
              <w:jc w:val="both"/>
              <w:rPr>
                <w:sz w:val="20"/>
                <w:highlight w:val="none"/>
              </w:rPr>
            </w:pPr>
            <w:r>
              <w:rPr>
                <w:sz w:val="20"/>
                <w:highlight w:val="none"/>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pPr>
              <w:pStyle w:val="68"/>
              <w:shd w:val="clear"/>
              <w:jc w:val="both"/>
              <w:rPr>
                <w:sz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 w:type="pct"/>
          </w:tcPr>
          <w:p>
            <w:pPr>
              <w:pStyle w:val="68"/>
              <w:shd w:val="clear"/>
              <w:rPr>
                <w:sz w:val="20"/>
                <w:highlight w:val="none"/>
              </w:rPr>
            </w:pPr>
            <w:r>
              <w:rPr>
                <w:sz w:val="20"/>
                <w:highlight w:val="none"/>
              </w:rPr>
              <w:t>Прибрежная защитная полоса</w:t>
            </w:r>
          </w:p>
        </w:tc>
        <w:tc>
          <w:tcPr>
            <w:tcW w:w="2002" w:type="pct"/>
          </w:tcPr>
          <w:p>
            <w:pPr>
              <w:pStyle w:val="68"/>
              <w:shd w:val="clear"/>
              <w:jc w:val="both"/>
              <w:rPr>
                <w:sz w:val="20"/>
                <w:highlight w:val="none"/>
              </w:rPr>
            </w:pPr>
            <w:r>
              <w:rPr>
                <w:sz w:val="20"/>
                <w:highlight w:val="none"/>
              </w:rPr>
              <w:t>Все вышеперечисленные пункты для водоохранной зоны. Плюс:</w:t>
            </w:r>
          </w:p>
          <w:p>
            <w:pPr>
              <w:shd w:val="clear"/>
              <w:rPr>
                <w:sz w:val="20"/>
                <w:szCs w:val="20"/>
                <w:highlight w:val="none"/>
              </w:rPr>
            </w:pPr>
            <w:r>
              <w:rPr>
                <w:sz w:val="20"/>
                <w:szCs w:val="20"/>
                <w:highlight w:val="none"/>
              </w:rPr>
              <w:t>1) распашка земель;</w:t>
            </w:r>
          </w:p>
          <w:p>
            <w:pPr>
              <w:shd w:val="clear"/>
              <w:rPr>
                <w:sz w:val="20"/>
                <w:szCs w:val="20"/>
                <w:highlight w:val="none"/>
              </w:rPr>
            </w:pPr>
            <w:r>
              <w:rPr>
                <w:sz w:val="20"/>
                <w:szCs w:val="20"/>
                <w:highlight w:val="none"/>
              </w:rPr>
              <w:t>2) размещение отвалов размываемых грунтов;</w:t>
            </w:r>
          </w:p>
          <w:p>
            <w:pPr>
              <w:shd w:val="clear"/>
              <w:rPr>
                <w:sz w:val="20"/>
                <w:szCs w:val="20"/>
                <w:highlight w:val="none"/>
              </w:rPr>
            </w:pPr>
            <w:r>
              <w:rPr>
                <w:sz w:val="20"/>
                <w:szCs w:val="20"/>
                <w:highlight w:val="none"/>
              </w:rPr>
              <w:t>3) выпас сельскохозяйственных животных и организация для них летних лагерей, ванн.</w:t>
            </w:r>
          </w:p>
        </w:tc>
        <w:tc>
          <w:tcPr>
            <w:tcW w:w="1979" w:type="pct"/>
          </w:tcPr>
          <w:p>
            <w:pPr>
              <w:pStyle w:val="68"/>
              <w:shd w:val="clear"/>
              <w:jc w:val="both"/>
              <w:rPr>
                <w:sz w:val="20"/>
                <w:highlight w:val="none"/>
              </w:rPr>
            </w:pPr>
            <w:r>
              <w:rPr>
                <w:sz w:val="20"/>
                <w:highlight w:val="none"/>
              </w:rPr>
              <w:t>-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 w:type="pct"/>
          </w:tcPr>
          <w:p>
            <w:pPr>
              <w:pStyle w:val="63"/>
              <w:shd w:val="clear"/>
              <w:rPr>
                <w:szCs w:val="20"/>
                <w:highlight w:val="none"/>
              </w:rPr>
            </w:pPr>
            <w:r>
              <w:rPr>
                <w:szCs w:val="20"/>
                <w:highlight w:val="none"/>
              </w:rPr>
              <w:t>Береговая полоса</w:t>
            </w:r>
          </w:p>
        </w:tc>
        <w:tc>
          <w:tcPr>
            <w:tcW w:w="2002" w:type="pct"/>
          </w:tcPr>
          <w:p>
            <w:pPr>
              <w:pStyle w:val="68"/>
              <w:shd w:val="clear"/>
              <w:jc w:val="both"/>
              <w:rPr>
                <w:sz w:val="20"/>
                <w:highlight w:val="none"/>
              </w:rPr>
            </w:pPr>
            <w:r>
              <w:rPr>
                <w:sz w:val="20"/>
                <w:highlight w:val="none"/>
              </w:rPr>
              <w:t>использование для передвижения механических транспортных средств</w:t>
            </w:r>
          </w:p>
        </w:tc>
        <w:tc>
          <w:tcPr>
            <w:tcW w:w="1979" w:type="pct"/>
          </w:tcPr>
          <w:p>
            <w:pPr>
              <w:pStyle w:val="68"/>
              <w:shd w:val="clear"/>
              <w:jc w:val="both"/>
              <w:rPr>
                <w:sz w:val="20"/>
                <w:highlight w:val="none"/>
              </w:rPr>
            </w:pPr>
            <w:r>
              <w:rPr>
                <w:sz w:val="20"/>
                <w:highlight w:val="none"/>
              </w:rPr>
              <w:t>Каждый гражданин вправе пользоваться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tc>
      </w:tr>
    </w:tbl>
    <w:p>
      <w:pPr>
        <w:keepNext/>
        <w:shd w:val="clear"/>
        <w:ind w:firstLine="567"/>
        <w:rPr>
          <w:b/>
          <w:sz w:val="24"/>
          <w:szCs w:val="24"/>
          <w:highlight w:val="none"/>
        </w:rPr>
      </w:pPr>
    </w:p>
    <w:p>
      <w:pPr>
        <w:keepNext/>
        <w:shd w:val="clear"/>
        <w:ind w:firstLine="567"/>
        <w:rPr>
          <w:b/>
          <w:sz w:val="24"/>
          <w:szCs w:val="24"/>
          <w:highlight w:val="none"/>
        </w:rPr>
      </w:pPr>
      <w:r>
        <w:rPr>
          <w:b/>
          <w:sz w:val="24"/>
          <w:szCs w:val="24"/>
          <w:highlight w:val="none"/>
        </w:rPr>
        <w:t>Охранная зона объектов электроэнергетики</w:t>
      </w:r>
    </w:p>
    <w:p>
      <w:pPr>
        <w:pStyle w:val="30"/>
        <w:shd w:val="clear"/>
        <w:rPr>
          <w:highlight w:val="none"/>
        </w:rPr>
      </w:pPr>
      <w:r>
        <w:rPr>
          <w:highlight w:val="none"/>
        </w:rPr>
        <w:t>Через территорию проектирования проходят кабельные сети электроснабжения 35, 10(6) кВ и 0,4 кВ, от которых устанавливается охранная зона.</w:t>
      </w:r>
    </w:p>
    <w:p>
      <w:pPr>
        <w:pStyle w:val="30"/>
        <w:shd w:val="clear"/>
        <w:rPr>
          <w:highlight w:val="none"/>
        </w:rPr>
      </w:pPr>
      <w:r>
        <w:rPr>
          <w:highlight w:val="none"/>
        </w:rPr>
        <w:t>Ограничения использования земельных участков и объектов капитального строительства на территории охранных зон определяются на основании Постановления Правительства РФ от 24.02.2009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pPr>
        <w:pStyle w:val="30"/>
        <w:shd w:val="clear"/>
        <w:rPr>
          <w:highlight w:val="none"/>
        </w:rPr>
      </w:pPr>
      <w:r>
        <w:rPr>
          <w:highlight w:val="none"/>
        </w:rPr>
        <w:t>Граница охранной зоны устанавливается вдоль воздушных линий электропередачи,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неотклоненном их положении на расстоянии:</w:t>
      </w:r>
    </w:p>
    <w:p>
      <w:pPr>
        <w:pStyle w:val="30"/>
        <w:numPr>
          <w:ilvl w:val="0"/>
          <w:numId w:val="6"/>
        </w:numPr>
        <w:shd w:val="clear"/>
        <w:rPr>
          <w:highlight w:val="none"/>
        </w:rPr>
      </w:pPr>
      <w:r>
        <w:rPr>
          <w:highlight w:val="none"/>
        </w:rPr>
        <w:t>для линий напряжением до 1 кВ – 2 м;</w:t>
      </w:r>
    </w:p>
    <w:p>
      <w:pPr>
        <w:pStyle w:val="30"/>
        <w:numPr>
          <w:ilvl w:val="0"/>
          <w:numId w:val="6"/>
        </w:numPr>
        <w:shd w:val="clear"/>
        <w:rPr>
          <w:highlight w:val="none"/>
        </w:rPr>
      </w:pPr>
      <w:r>
        <w:rPr>
          <w:highlight w:val="none"/>
        </w:rPr>
        <w:t>для линий напряжением от 1 до 20 кВ – 10 м.</w:t>
      </w:r>
    </w:p>
    <w:p>
      <w:pPr>
        <w:pStyle w:val="30"/>
        <w:numPr>
          <w:ilvl w:val="0"/>
          <w:numId w:val="6"/>
        </w:numPr>
        <w:shd w:val="clear"/>
        <w:rPr>
          <w:highlight w:val="none"/>
        </w:rPr>
      </w:pPr>
      <w:r>
        <w:rPr>
          <w:highlight w:val="none"/>
        </w:rPr>
        <w:t>для линий напряжением 35 кВ – 15 м</w:t>
      </w:r>
    </w:p>
    <w:p>
      <w:pPr>
        <w:shd w:val="clear"/>
        <w:autoSpaceDE w:val="0"/>
        <w:autoSpaceDN w:val="0"/>
        <w:adjustRightInd w:val="0"/>
        <w:spacing w:before="120" w:after="120" w:line="276" w:lineRule="auto"/>
        <w:rPr>
          <w:sz w:val="24"/>
          <w:szCs w:val="24"/>
          <w:highlight w:val="none"/>
        </w:rPr>
      </w:pPr>
      <w:r>
        <w:rPr>
          <w:sz w:val="24"/>
          <w:szCs w:val="24"/>
          <w:highlight w:val="none"/>
        </w:rPr>
        <w:t>Охранные зоны составляют:</w:t>
      </w:r>
    </w:p>
    <w:p>
      <w:pPr>
        <w:pStyle w:val="22"/>
        <w:numPr>
          <w:ilvl w:val="0"/>
          <w:numId w:val="7"/>
        </w:numPr>
        <w:shd w:val="clear"/>
        <w:autoSpaceDE w:val="0"/>
        <w:autoSpaceDN w:val="0"/>
        <w:adjustRightInd w:val="0"/>
        <w:spacing w:before="120" w:after="120" w:line="276" w:lineRule="auto"/>
        <w:rPr>
          <w:rFonts w:eastAsia="Calibri"/>
          <w:sz w:val="24"/>
          <w:szCs w:val="24"/>
          <w:highlight w:val="none"/>
        </w:rPr>
      </w:pPr>
      <w:r>
        <w:rPr>
          <w:rFonts w:eastAsia="Calibri"/>
          <w:sz w:val="24"/>
          <w:szCs w:val="24"/>
          <w:highlight w:val="none"/>
        </w:rPr>
        <w:t>вдоль подземных кабельных линий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ограниченного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кВ в городах под тротуарами – на 0,6 метра в сторону зданий и сооружений и на 1 метр в сторону проезжей части улицы);</w:t>
      </w:r>
    </w:p>
    <w:p>
      <w:pPr>
        <w:pStyle w:val="22"/>
        <w:numPr>
          <w:ilvl w:val="0"/>
          <w:numId w:val="7"/>
        </w:numPr>
        <w:shd w:val="clear"/>
        <w:autoSpaceDE w:val="0"/>
        <w:autoSpaceDN w:val="0"/>
        <w:adjustRightInd w:val="0"/>
        <w:spacing w:before="120" w:after="120" w:line="276" w:lineRule="auto"/>
        <w:rPr>
          <w:rFonts w:eastAsia="Calibri"/>
          <w:sz w:val="24"/>
          <w:szCs w:val="24"/>
          <w:highlight w:val="none"/>
        </w:rPr>
      </w:pPr>
      <w:r>
        <w:rPr>
          <w:rFonts w:eastAsia="Calibri"/>
          <w:sz w:val="24"/>
          <w:szCs w:val="24"/>
          <w:highlight w:val="none"/>
        </w:rPr>
        <w:t>вдоль подводных кабельных линий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pPr>
        <w:pStyle w:val="22"/>
        <w:numPr>
          <w:ilvl w:val="0"/>
          <w:numId w:val="7"/>
        </w:numPr>
        <w:shd w:val="clear"/>
        <w:autoSpaceDE w:val="0"/>
        <w:autoSpaceDN w:val="0"/>
        <w:adjustRightInd w:val="0"/>
        <w:spacing w:before="120" w:after="120" w:line="276" w:lineRule="auto"/>
        <w:rPr>
          <w:rFonts w:eastAsia="Calibri"/>
          <w:sz w:val="24"/>
          <w:szCs w:val="24"/>
          <w:highlight w:val="none"/>
        </w:rPr>
      </w:pPr>
      <w:r>
        <w:rPr>
          <w:rFonts w:eastAsia="Calibri"/>
          <w:sz w:val="24"/>
          <w:szCs w:val="24"/>
          <w:highlight w:val="none"/>
        </w:rPr>
        <w:t>вдоль переходов воздушных линий электропередачи через водоемы (реки, каналы, озера и другие водные объекты)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неотклоненном их положении, для судоходных водоемов –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pPr>
        <w:pStyle w:val="22"/>
        <w:numPr>
          <w:ilvl w:val="0"/>
          <w:numId w:val="7"/>
        </w:numPr>
        <w:shd w:val="clear"/>
        <w:autoSpaceDE w:val="0"/>
        <w:autoSpaceDN w:val="0"/>
        <w:adjustRightInd w:val="0"/>
        <w:spacing w:before="120" w:after="120" w:line="276" w:lineRule="auto"/>
        <w:rPr>
          <w:rFonts w:eastAsia="Calibri"/>
          <w:sz w:val="24"/>
          <w:szCs w:val="24"/>
          <w:highlight w:val="none"/>
        </w:rPr>
      </w:pPr>
      <w:r>
        <w:rPr>
          <w:rFonts w:eastAsia="Calibri"/>
          <w:sz w:val="24"/>
          <w:szCs w:val="24"/>
          <w:highlight w:val="none"/>
        </w:rPr>
        <w:t>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указанном в абзаце третьем настоящего раздела, применительно к высшему классу напряжения подстанции.</w:t>
      </w:r>
    </w:p>
    <w:p>
      <w:pPr>
        <w:shd w:val="clear"/>
        <w:autoSpaceDE w:val="0"/>
        <w:autoSpaceDN w:val="0"/>
        <w:adjustRightInd w:val="0"/>
        <w:spacing w:before="120" w:after="120" w:line="276" w:lineRule="auto"/>
        <w:rPr>
          <w:sz w:val="24"/>
          <w:szCs w:val="24"/>
          <w:highlight w:val="none"/>
        </w:rPr>
      </w:pPr>
      <w:r>
        <w:rPr>
          <w:sz w:val="24"/>
          <w:szCs w:val="24"/>
          <w:highlight w:val="none"/>
        </w:rPr>
        <w:t>Регламенты использования охранной зоны объектов электросетевого хозяйства.</w:t>
      </w:r>
    </w:p>
    <w:p>
      <w:pPr>
        <w:shd w:val="clear"/>
        <w:autoSpaceDE w:val="0"/>
        <w:autoSpaceDN w:val="0"/>
        <w:adjustRightInd w:val="0"/>
        <w:spacing w:before="120" w:after="120" w:line="276" w:lineRule="auto"/>
        <w:rPr>
          <w:sz w:val="24"/>
          <w:szCs w:val="24"/>
          <w:highlight w:val="none"/>
        </w:rPr>
      </w:pPr>
      <w:r>
        <w:rPr>
          <w:sz w:val="24"/>
          <w:szCs w:val="24"/>
          <w:highlight w:val="none"/>
        </w:rPr>
        <w:t>В соответствии с Постановлением Правительства РФ от 24 февраля 2009 года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pPr>
        <w:pStyle w:val="22"/>
        <w:numPr>
          <w:ilvl w:val="0"/>
          <w:numId w:val="8"/>
        </w:numPr>
        <w:shd w:val="clear"/>
        <w:autoSpaceDE w:val="0"/>
        <w:autoSpaceDN w:val="0"/>
        <w:adjustRightInd w:val="0"/>
        <w:spacing w:before="120" w:after="120" w:line="276" w:lineRule="auto"/>
        <w:rPr>
          <w:rFonts w:eastAsia="Calibri"/>
          <w:sz w:val="24"/>
          <w:szCs w:val="24"/>
          <w:highlight w:val="none"/>
        </w:rPr>
      </w:pPr>
      <w:r>
        <w:rPr>
          <w:rFonts w:eastAsia="Calibri"/>
          <w:sz w:val="24"/>
          <w:szCs w:val="24"/>
          <w:highlight w:val="none"/>
        </w:rPr>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pPr>
        <w:pStyle w:val="22"/>
        <w:numPr>
          <w:ilvl w:val="0"/>
          <w:numId w:val="8"/>
        </w:numPr>
        <w:shd w:val="clear"/>
        <w:autoSpaceDE w:val="0"/>
        <w:autoSpaceDN w:val="0"/>
        <w:adjustRightInd w:val="0"/>
        <w:spacing w:before="120" w:after="120" w:line="276" w:lineRule="auto"/>
        <w:rPr>
          <w:rFonts w:eastAsia="Calibri"/>
          <w:sz w:val="24"/>
          <w:szCs w:val="24"/>
          <w:highlight w:val="none"/>
        </w:rPr>
      </w:pPr>
      <w:r>
        <w:rPr>
          <w:rFonts w:eastAsia="Calibri"/>
          <w:sz w:val="24"/>
          <w:szCs w:val="24"/>
          <w:highlight w:val="none"/>
        </w:rPr>
        <w:t>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pPr>
        <w:pStyle w:val="22"/>
        <w:numPr>
          <w:ilvl w:val="0"/>
          <w:numId w:val="8"/>
        </w:numPr>
        <w:shd w:val="clear"/>
        <w:autoSpaceDE w:val="0"/>
        <w:autoSpaceDN w:val="0"/>
        <w:adjustRightInd w:val="0"/>
        <w:spacing w:before="120" w:after="120" w:line="276" w:lineRule="auto"/>
        <w:rPr>
          <w:rFonts w:eastAsia="Calibri"/>
          <w:sz w:val="24"/>
          <w:szCs w:val="24"/>
          <w:highlight w:val="none"/>
        </w:rPr>
      </w:pPr>
      <w:r>
        <w:rPr>
          <w:rFonts w:eastAsia="Calibri"/>
          <w:sz w:val="24"/>
          <w:szCs w:val="24"/>
          <w:highlight w:val="none"/>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pPr>
        <w:pStyle w:val="22"/>
        <w:numPr>
          <w:ilvl w:val="0"/>
          <w:numId w:val="8"/>
        </w:numPr>
        <w:shd w:val="clear"/>
        <w:autoSpaceDE w:val="0"/>
        <w:autoSpaceDN w:val="0"/>
        <w:adjustRightInd w:val="0"/>
        <w:spacing w:before="120" w:after="120" w:line="276" w:lineRule="auto"/>
        <w:rPr>
          <w:rFonts w:eastAsia="Calibri"/>
          <w:sz w:val="24"/>
          <w:szCs w:val="24"/>
          <w:highlight w:val="none"/>
        </w:rPr>
      </w:pPr>
      <w:r>
        <w:rPr>
          <w:rFonts w:eastAsia="Calibri"/>
          <w:sz w:val="24"/>
          <w:szCs w:val="24"/>
          <w:highlight w:val="none"/>
        </w:rPr>
        <w:t>размещать свалки;</w:t>
      </w:r>
    </w:p>
    <w:p>
      <w:pPr>
        <w:pStyle w:val="22"/>
        <w:numPr>
          <w:ilvl w:val="0"/>
          <w:numId w:val="8"/>
        </w:numPr>
        <w:shd w:val="clear"/>
        <w:autoSpaceDE w:val="0"/>
        <w:autoSpaceDN w:val="0"/>
        <w:adjustRightInd w:val="0"/>
        <w:spacing w:before="120" w:after="120" w:line="276" w:lineRule="auto"/>
        <w:rPr>
          <w:rFonts w:eastAsia="Calibri"/>
          <w:sz w:val="24"/>
          <w:szCs w:val="24"/>
          <w:highlight w:val="none"/>
        </w:rPr>
      </w:pPr>
      <w:r>
        <w:rPr>
          <w:rFonts w:eastAsia="Calibri"/>
          <w:sz w:val="24"/>
          <w:szCs w:val="24"/>
          <w:highlight w:val="none"/>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pPr>
        <w:pStyle w:val="22"/>
        <w:numPr>
          <w:ilvl w:val="0"/>
          <w:numId w:val="8"/>
        </w:numPr>
        <w:shd w:val="clear"/>
        <w:autoSpaceDE w:val="0"/>
        <w:autoSpaceDN w:val="0"/>
        <w:adjustRightInd w:val="0"/>
        <w:spacing w:before="120" w:after="120" w:line="276" w:lineRule="auto"/>
        <w:rPr>
          <w:rFonts w:eastAsia="Calibri"/>
          <w:sz w:val="24"/>
          <w:szCs w:val="24"/>
          <w:highlight w:val="none"/>
        </w:rPr>
      </w:pPr>
      <w:r>
        <w:rPr>
          <w:rFonts w:eastAsia="Calibri"/>
          <w:sz w:val="24"/>
          <w:szCs w:val="24"/>
          <w:highlight w:val="none"/>
        </w:rPr>
        <w:t>складировать или размещать хранилища любых, в том числе горюче-смазочных, материалов;</w:t>
      </w:r>
    </w:p>
    <w:p>
      <w:pPr>
        <w:pStyle w:val="22"/>
        <w:numPr>
          <w:ilvl w:val="0"/>
          <w:numId w:val="8"/>
        </w:numPr>
        <w:shd w:val="clear"/>
        <w:autoSpaceDE w:val="0"/>
        <w:autoSpaceDN w:val="0"/>
        <w:adjustRightInd w:val="0"/>
        <w:spacing w:before="120" w:after="120" w:line="276" w:lineRule="auto"/>
        <w:rPr>
          <w:rFonts w:eastAsia="Calibri"/>
          <w:sz w:val="24"/>
          <w:szCs w:val="24"/>
          <w:highlight w:val="none"/>
        </w:rPr>
      </w:pPr>
      <w:r>
        <w:rPr>
          <w:rFonts w:eastAsia="Calibri"/>
          <w:sz w:val="24"/>
          <w:szCs w:val="24"/>
          <w:highlight w:val="none"/>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pPr>
        <w:pStyle w:val="22"/>
        <w:numPr>
          <w:ilvl w:val="0"/>
          <w:numId w:val="8"/>
        </w:numPr>
        <w:shd w:val="clear"/>
        <w:autoSpaceDE w:val="0"/>
        <w:autoSpaceDN w:val="0"/>
        <w:adjustRightInd w:val="0"/>
        <w:spacing w:before="120" w:after="120" w:line="276" w:lineRule="auto"/>
        <w:rPr>
          <w:rFonts w:eastAsia="Calibri"/>
          <w:sz w:val="24"/>
          <w:szCs w:val="24"/>
          <w:highlight w:val="none"/>
        </w:rPr>
      </w:pPr>
      <w:r>
        <w:rPr>
          <w:rFonts w:eastAsia="Calibri"/>
          <w:sz w:val="24"/>
          <w:szCs w:val="24"/>
          <w:highlight w:val="none"/>
        </w:rPr>
        <w:t>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pPr>
        <w:pStyle w:val="22"/>
        <w:numPr>
          <w:ilvl w:val="0"/>
          <w:numId w:val="8"/>
        </w:numPr>
        <w:shd w:val="clear"/>
        <w:autoSpaceDE w:val="0"/>
        <w:autoSpaceDN w:val="0"/>
        <w:adjustRightInd w:val="0"/>
        <w:spacing w:before="120" w:after="120" w:line="276" w:lineRule="auto"/>
        <w:rPr>
          <w:rFonts w:eastAsia="Calibri"/>
          <w:sz w:val="24"/>
          <w:szCs w:val="24"/>
          <w:highlight w:val="none"/>
        </w:rPr>
      </w:pPr>
      <w:r>
        <w:rPr>
          <w:rFonts w:eastAsia="Calibri"/>
          <w:sz w:val="24"/>
          <w:szCs w:val="24"/>
          <w:highlight w:val="none"/>
        </w:rPr>
        <w:t>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pPr>
        <w:pStyle w:val="22"/>
        <w:numPr>
          <w:ilvl w:val="0"/>
          <w:numId w:val="8"/>
        </w:numPr>
        <w:shd w:val="clear"/>
        <w:autoSpaceDE w:val="0"/>
        <w:autoSpaceDN w:val="0"/>
        <w:adjustRightInd w:val="0"/>
        <w:spacing w:before="120" w:after="120" w:line="276" w:lineRule="auto"/>
        <w:rPr>
          <w:rFonts w:eastAsia="Calibri"/>
          <w:sz w:val="24"/>
          <w:szCs w:val="24"/>
          <w:highlight w:val="none"/>
        </w:rPr>
      </w:pPr>
      <w:r>
        <w:rPr>
          <w:rFonts w:eastAsia="Calibri"/>
          <w:sz w:val="24"/>
          <w:szCs w:val="24"/>
          <w:highlight w:val="none"/>
        </w:rPr>
        <w:t>осуществлять проход судов с поднятыми стрелами кранов и других механизмов (в охранных зонах воздушных линий электропередачи).</w:t>
      </w:r>
    </w:p>
    <w:p>
      <w:pPr>
        <w:shd w:val="clear"/>
        <w:autoSpaceDE w:val="0"/>
        <w:autoSpaceDN w:val="0"/>
        <w:adjustRightInd w:val="0"/>
        <w:spacing w:before="120" w:after="120" w:line="276" w:lineRule="auto"/>
        <w:rPr>
          <w:sz w:val="24"/>
          <w:szCs w:val="24"/>
          <w:highlight w:val="none"/>
        </w:rPr>
      </w:pPr>
      <w:r>
        <w:rPr>
          <w:sz w:val="24"/>
          <w:szCs w:val="24"/>
          <w:highlight w:val="none"/>
        </w:rPr>
        <w:t>В пределах охранных зон без письменного решения о согласовании сетевых организаций юридическим и физическим лицам запрещаются:</w:t>
      </w:r>
    </w:p>
    <w:p>
      <w:pPr>
        <w:pStyle w:val="22"/>
        <w:numPr>
          <w:ilvl w:val="0"/>
          <w:numId w:val="8"/>
        </w:numPr>
        <w:shd w:val="clear"/>
        <w:autoSpaceDE w:val="0"/>
        <w:autoSpaceDN w:val="0"/>
        <w:adjustRightInd w:val="0"/>
        <w:spacing w:before="120" w:after="120" w:line="276" w:lineRule="auto"/>
        <w:rPr>
          <w:rFonts w:eastAsia="Calibri"/>
          <w:sz w:val="24"/>
          <w:szCs w:val="24"/>
          <w:highlight w:val="none"/>
        </w:rPr>
      </w:pPr>
      <w:r>
        <w:rPr>
          <w:rFonts w:eastAsia="Calibri"/>
          <w:sz w:val="24"/>
          <w:szCs w:val="24"/>
          <w:highlight w:val="none"/>
        </w:rPr>
        <w:t>строительство, капитальный ремонт, реконструкция или снос зданий и сооружений;</w:t>
      </w:r>
    </w:p>
    <w:p>
      <w:pPr>
        <w:pStyle w:val="22"/>
        <w:numPr>
          <w:ilvl w:val="0"/>
          <w:numId w:val="8"/>
        </w:numPr>
        <w:shd w:val="clear"/>
        <w:autoSpaceDE w:val="0"/>
        <w:autoSpaceDN w:val="0"/>
        <w:adjustRightInd w:val="0"/>
        <w:spacing w:before="120" w:after="120" w:line="276" w:lineRule="auto"/>
        <w:rPr>
          <w:rFonts w:eastAsia="Calibri"/>
          <w:sz w:val="24"/>
          <w:szCs w:val="24"/>
          <w:highlight w:val="none"/>
        </w:rPr>
      </w:pPr>
      <w:r>
        <w:rPr>
          <w:rFonts w:eastAsia="Calibri"/>
          <w:sz w:val="24"/>
          <w:szCs w:val="24"/>
          <w:highlight w:val="none"/>
        </w:rPr>
        <w:t>горные, взрывные, мелиоративные работы, в том числе связанные с временным затоплением земель;</w:t>
      </w:r>
    </w:p>
    <w:p>
      <w:pPr>
        <w:pStyle w:val="22"/>
        <w:numPr>
          <w:ilvl w:val="0"/>
          <w:numId w:val="8"/>
        </w:numPr>
        <w:shd w:val="clear"/>
        <w:autoSpaceDE w:val="0"/>
        <w:autoSpaceDN w:val="0"/>
        <w:adjustRightInd w:val="0"/>
        <w:spacing w:before="120" w:after="120" w:line="276" w:lineRule="auto"/>
        <w:rPr>
          <w:rFonts w:eastAsia="Calibri"/>
          <w:sz w:val="24"/>
          <w:szCs w:val="24"/>
          <w:highlight w:val="none"/>
        </w:rPr>
      </w:pPr>
      <w:r>
        <w:rPr>
          <w:rFonts w:eastAsia="Calibri"/>
          <w:sz w:val="24"/>
          <w:szCs w:val="24"/>
          <w:highlight w:val="none"/>
        </w:rPr>
        <w:t>посадка и вырубка деревьев и кустарников;</w:t>
      </w:r>
    </w:p>
    <w:p>
      <w:pPr>
        <w:pStyle w:val="22"/>
        <w:numPr>
          <w:ilvl w:val="0"/>
          <w:numId w:val="8"/>
        </w:numPr>
        <w:shd w:val="clear"/>
        <w:autoSpaceDE w:val="0"/>
        <w:autoSpaceDN w:val="0"/>
        <w:adjustRightInd w:val="0"/>
        <w:spacing w:before="120" w:after="120" w:line="276" w:lineRule="auto"/>
        <w:rPr>
          <w:rFonts w:eastAsia="Calibri"/>
          <w:sz w:val="24"/>
          <w:szCs w:val="24"/>
          <w:highlight w:val="none"/>
        </w:rPr>
      </w:pPr>
      <w:r>
        <w:rPr>
          <w:rFonts w:eastAsia="Calibri"/>
          <w:sz w:val="24"/>
          <w:szCs w:val="24"/>
          <w:highlight w:val="none"/>
        </w:rPr>
        <w:t>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pPr>
        <w:pStyle w:val="22"/>
        <w:numPr>
          <w:ilvl w:val="0"/>
          <w:numId w:val="8"/>
        </w:numPr>
        <w:shd w:val="clear"/>
        <w:autoSpaceDE w:val="0"/>
        <w:autoSpaceDN w:val="0"/>
        <w:adjustRightInd w:val="0"/>
        <w:spacing w:before="120" w:after="120" w:line="276" w:lineRule="auto"/>
        <w:rPr>
          <w:rFonts w:eastAsia="Calibri"/>
          <w:sz w:val="24"/>
          <w:szCs w:val="24"/>
          <w:highlight w:val="none"/>
        </w:rPr>
      </w:pPr>
      <w:r>
        <w:rPr>
          <w:rFonts w:eastAsia="Calibri"/>
          <w:sz w:val="24"/>
          <w:szCs w:val="24"/>
          <w:highlight w:val="none"/>
        </w:rPr>
        <w:t>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pPr>
        <w:pStyle w:val="22"/>
        <w:numPr>
          <w:ilvl w:val="0"/>
          <w:numId w:val="8"/>
        </w:numPr>
        <w:shd w:val="clear"/>
        <w:autoSpaceDE w:val="0"/>
        <w:autoSpaceDN w:val="0"/>
        <w:adjustRightInd w:val="0"/>
        <w:spacing w:before="120" w:after="120" w:line="276" w:lineRule="auto"/>
        <w:rPr>
          <w:rFonts w:eastAsia="Calibri"/>
          <w:sz w:val="24"/>
          <w:szCs w:val="24"/>
          <w:highlight w:val="none"/>
        </w:rPr>
      </w:pPr>
      <w:r>
        <w:rPr>
          <w:rFonts w:eastAsia="Calibri"/>
          <w:sz w:val="24"/>
          <w:szCs w:val="24"/>
          <w:highlight w:val="none"/>
        </w:rPr>
        <w:t>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pPr>
        <w:pStyle w:val="22"/>
        <w:numPr>
          <w:ilvl w:val="0"/>
          <w:numId w:val="8"/>
        </w:numPr>
        <w:shd w:val="clear"/>
        <w:autoSpaceDE w:val="0"/>
        <w:autoSpaceDN w:val="0"/>
        <w:adjustRightInd w:val="0"/>
        <w:spacing w:before="120" w:after="120" w:line="276" w:lineRule="auto"/>
        <w:rPr>
          <w:rFonts w:eastAsia="Calibri"/>
          <w:sz w:val="24"/>
          <w:szCs w:val="24"/>
          <w:highlight w:val="none"/>
        </w:rPr>
      </w:pPr>
      <w:r>
        <w:rPr>
          <w:rFonts w:eastAsia="Calibri"/>
          <w:sz w:val="24"/>
          <w:szCs w:val="24"/>
          <w:highlight w:val="none"/>
        </w:rPr>
        <w:t>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pPr>
        <w:pStyle w:val="22"/>
        <w:numPr>
          <w:ilvl w:val="0"/>
          <w:numId w:val="8"/>
        </w:numPr>
        <w:shd w:val="clear"/>
        <w:autoSpaceDE w:val="0"/>
        <w:autoSpaceDN w:val="0"/>
        <w:adjustRightInd w:val="0"/>
        <w:spacing w:before="120" w:after="120" w:line="276" w:lineRule="auto"/>
        <w:rPr>
          <w:rFonts w:eastAsia="Calibri"/>
          <w:sz w:val="24"/>
          <w:szCs w:val="24"/>
          <w:highlight w:val="none"/>
        </w:rPr>
      </w:pPr>
      <w:r>
        <w:rPr>
          <w:rFonts w:eastAsia="Calibri"/>
          <w:sz w:val="24"/>
          <w:szCs w:val="24"/>
          <w:highlight w:val="none"/>
        </w:rPr>
        <w:t>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pPr>
        <w:pStyle w:val="22"/>
        <w:numPr>
          <w:ilvl w:val="0"/>
          <w:numId w:val="8"/>
        </w:numPr>
        <w:shd w:val="clear"/>
        <w:autoSpaceDE w:val="0"/>
        <w:autoSpaceDN w:val="0"/>
        <w:adjustRightInd w:val="0"/>
        <w:spacing w:before="120" w:after="120" w:line="276" w:lineRule="auto"/>
        <w:rPr>
          <w:rFonts w:eastAsia="Calibri"/>
          <w:sz w:val="24"/>
          <w:szCs w:val="24"/>
          <w:highlight w:val="none"/>
        </w:rPr>
      </w:pPr>
      <w:r>
        <w:rPr>
          <w:rFonts w:eastAsia="Calibri"/>
          <w:sz w:val="24"/>
          <w:szCs w:val="24"/>
          <w:highlight w:val="none"/>
        </w:rPr>
        <w:t>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pPr>
        <w:pStyle w:val="21"/>
        <w:shd w:val="clear"/>
        <w:spacing w:line="276" w:lineRule="auto"/>
        <w:ind w:firstLine="709"/>
        <w:jc w:val="both"/>
        <w:rPr>
          <w:highlight w:val="none"/>
        </w:rPr>
      </w:pPr>
    </w:p>
    <w:p>
      <w:pPr>
        <w:keepNext/>
        <w:shd w:val="clear"/>
        <w:ind w:firstLine="567"/>
        <w:rPr>
          <w:b/>
          <w:sz w:val="24"/>
          <w:szCs w:val="24"/>
          <w:highlight w:val="none"/>
        </w:rPr>
      </w:pPr>
      <w:r>
        <w:rPr>
          <w:b/>
          <w:sz w:val="24"/>
          <w:szCs w:val="24"/>
          <w:highlight w:val="none"/>
        </w:rPr>
        <w:t>Охранные зоны сетей газоснабжения</w:t>
      </w:r>
    </w:p>
    <w:p>
      <w:pPr>
        <w:pStyle w:val="30"/>
        <w:shd w:val="clear"/>
        <w:rPr>
          <w:highlight w:val="none"/>
        </w:rPr>
      </w:pPr>
      <w:r>
        <w:rPr>
          <w:highlight w:val="none"/>
        </w:rPr>
        <w:t>Через участок проекта планировки проходят сети газоснабжения среднего и низкого давления.</w:t>
      </w:r>
    </w:p>
    <w:p>
      <w:pPr>
        <w:pStyle w:val="30"/>
        <w:shd w:val="clear"/>
        <w:rPr>
          <w:highlight w:val="none"/>
        </w:rPr>
      </w:pPr>
      <w:r>
        <w:rPr>
          <w:highlight w:val="none"/>
        </w:rPr>
        <w:t>В соответствии с Постановлением Правительства Российской Федерации «Об утверждении Правил охраны газораспределительных сетей» от 20.11.2000 г. № 878 для газораспределительных сетей устанавливаются следующие охранные зоны:</w:t>
      </w:r>
    </w:p>
    <w:p>
      <w:pPr>
        <w:pStyle w:val="52"/>
        <w:numPr>
          <w:ilvl w:val="0"/>
          <w:numId w:val="9"/>
        </w:numPr>
        <w:shd w:val="clear" w:color="auto"/>
        <w:spacing w:before="0" w:beforeAutospacing="0" w:after="0" w:afterAutospacing="0"/>
        <w:jc w:val="both"/>
        <w:textAlignment w:val="baseline"/>
        <w:rPr>
          <w:rFonts w:eastAsia="Calibri"/>
          <w:iCs/>
          <w:szCs w:val="26"/>
          <w:highlight w:val="none"/>
          <w:lang w:eastAsia="en-US"/>
        </w:rPr>
      </w:pPr>
      <w:r>
        <w:rPr>
          <w:rFonts w:eastAsia="Calibri"/>
          <w:iCs/>
          <w:szCs w:val="26"/>
          <w:highlight w:val="none"/>
          <w:lang w:eastAsia="en-US"/>
        </w:rPr>
        <w:t>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pPr>
        <w:pStyle w:val="52"/>
        <w:numPr>
          <w:ilvl w:val="0"/>
          <w:numId w:val="9"/>
        </w:numPr>
        <w:shd w:val="clear" w:color="auto"/>
        <w:spacing w:before="0" w:beforeAutospacing="0" w:after="0" w:afterAutospacing="0"/>
        <w:jc w:val="both"/>
        <w:textAlignment w:val="baseline"/>
        <w:rPr>
          <w:rFonts w:eastAsia="Calibri"/>
          <w:iCs/>
          <w:szCs w:val="26"/>
          <w:highlight w:val="none"/>
          <w:lang w:eastAsia="en-US"/>
        </w:rPr>
      </w:pPr>
      <w:r>
        <w:rPr>
          <w:rFonts w:eastAsia="Calibri"/>
          <w:iCs/>
          <w:szCs w:val="26"/>
          <w:highlight w:val="none"/>
          <w:lang w:eastAsia="en-US"/>
        </w:rPr>
        <w:t>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pPr>
        <w:pStyle w:val="52"/>
        <w:numPr>
          <w:ilvl w:val="0"/>
          <w:numId w:val="9"/>
        </w:numPr>
        <w:shd w:val="clear" w:color="auto"/>
        <w:spacing w:before="0" w:beforeAutospacing="0" w:after="0" w:afterAutospacing="0"/>
        <w:jc w:val="both"/>
        <w:textAlignment w:val="baseline"/>
        <w:rPr>
          <w:rFonts w:eastAsia="Calibri"/>
          <w:iCs/>
          <w:szCs w:val="26"/>
          <w:highlight w:val="none"/>
          <w:lang w:eastAsia="en-US"/>
        </w:rPr>
      </w:pPr>
      <w:r>
        <w:rPr>
          <w:rFonts w:eastAsia="Calibri"/>
          <w:iCs/>
          <w:szCs w:val="26"/>
          <w:highlight w:val="none"/>
          <w:lang w:eastAsia="en-US"/>
        </w:rPr>
        <w:t>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pPr>
        <w:pStyle w:val="52"/>
        <w:shd w:val="clear" w:color="auto"/>
        <w:spacing w:before="0" w:beforeAutospacing="0" w:after="0" w:afterAutospacing="0"/>
        <w:ind w:firstLine="567"/>
        <w:jc w:val="both"/>
        <w:textAlignment w:val="baseline"/>
        <w:rPr>
          <w:rFonts w:eastAsia="Calibri"/>
          <w:iCs/>
          <w:szCs w:val="26"/>
          <w:highlight w:val="none"/>
          <w:lang w:eastAsia="en-US"/>
        </w:rPr>
      </w:pPr>
      <w:r>
        <w:rPr>
          <w:rFonts w:eastAsia="Calibri"/>
          <w:iCs/>
          <w:szCs w:val="26"/>
          <w:highlight w:val="none"/>
          <w:lang w:eastAsia="en-US"/>
        </w:rP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 Нормативные расстояния устанавливаются с учетом значимости объектов, условий прокладки газопровода, давления газа и других факторов, но не менее строительных норм и правил, утвержденных специально уполномоченным федеральным органом исполнительной власти в области градостроительства и строительства.</w:t>
      </w:r>
    </w:p>
    <w:p>
      <w:pPr>
        <w:pStyle w:val="52"/>
        <w:shd w:val="clear" w:color="auto"/>
        <w:spacing w:before="0" w:beforeAutospacing="0" w:after="0" w:afterAutospacing="0"/>
        <w:ind w:firstLine="567"/>
        <w:jc w:val="both"/>
        <w:textAlignment w:val="baseline"/>
        <w:rPr>
          <w:rFonts w:eastAsia="Calibri"/>
          <w:iCs/>
          <w:szCs w:val="26"/>
          <w:highlight w:val="none"/>
          <w:lang w:eastAsia="en-US"/>
        </w:rPr>
      </w:pPr>
      <w:r>
        <w:rPr>
          <w:rFonts w:eastAsia="Calibri"/>
          <w:iCs/>
          <w:szCs w:val="26"/>
          <w:highlight w:val="none"/>
          <w:lang w:eastAsia="en-US"/>
        </w:rPr>
        <w:t>Любые работы в охранных зонах газораспределительных сетей производятся при строгом выполнении требований по сохранности вскрываемых сетей и других инженерных коммуникаций, а также по осуществлению безопасного проезда специального автотранспорта и прохода пешеходов.</w:t>
      </w:r>
    </w:p>
    <w:p>
      <w:pPr>
        <w:pStyle w:val="21"/>
        <w:shd w:val="clear"/>
        <w:spacing w:line="276" w:lineRule="auto"/>
        <w:ind w:firstLine="709"/>
        <w:jc w:val="both"/>
        <w:rPr>
          <w:highlight w:val="none"/>
        </w:rPr>
      </w:pPr>
    </w:p>
    <w:p>
      <w:pPr>
        <w:keepNext/>
        <w:shd w:val="clear"/>
        <w:ind w:firstLine="567"/>
        <w:rPr>
          <w:b/>
          <w:sz w:val="24"/>
          <w:szCs w:val="24"/>
          <w:highlight w:val="none"/>
        </w:rPr>
      </w:pPr>
      <w:r>
        <w:rPr>
          <w:b/>
          <w:sz w:val="24"/>
          <w:szCs w:val="24"/>
          <w:highlight w:val="none"/>
        </w:rPr>
        <w:t>Зоны санитарной охраны источников водоснабжения</w:t>
      </w:r>
    </w:p>
    <w:p>
      <w:pPr>
        <w:pStyle w:val="30"/>
        <w:shd w:val="clear"/>
        <w:rPr>
          <w:highlight w:val="none"/>
        </w:rPr>
      </w:pPr>
      <w:r>
        <w:rPr>
          <w:highlight w:val="none"/>
        </w:rPr>
        <w:t>В соответствии с постановлением Главного государственного санитарного врача Российской Федерации от 14 марта 2002 года № 10 «О введении в действие санитарных правил и норм «Зоны санитарной охраны источников водоснабжения и водопроводов питьевого назначения. СанПиН 2.1.4.1110-02», ЗСО организуются на всех водопроводах, вне зависимости от ведомственной принадлежности, подающих воду, как из поверхностных, так и из подземных источников.</w:t>
      </w:r>
    </w:p>
    <w:p>
      <w:pPr>
        <w:pStyle w:val="30"/>
        <w:shd w:val="clear"/>
        <w:rPr>
          <w:highlight w:val="none"/>
        </w:rPr>
      </w:pPr>
      <w:r>
        <w:rPr>
          <w:highlight w:val="none"/>
        </w:rPr>
        <w:t>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pPr>
        <w:pStyle w:val="30"/>
        <w:shd w:val="clear"/>
        <w:rPr>
          <w:highlight w:val="none"/>
        </w:rPr>
      </w:pPr>
      <w:r>
        <w:rPr>
          <w:highlight w:val="none"/>
        </w:rPr>
        <w:t>ЗСО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pPr>
        <w:pStyle w:val="30"/>
        <w:shd w:val="clear"/>
        <w:rPr>
          <w:i/>
          <w:highlight w:val="none"/>
        </w:rPr>
      </w:pPr>
      <w:r>
        <w:rPr>
          <w:i/>
          <w:highlight w:val="none"/>
        </w:rPr>
        <w:t>Мероприятия по второму и третьему поясам</w:t>
      </w:r>
    </w:p>
    <w:p>
      <w:pPr>
        <w:pStyle w:val="30"/>
        <w:shd w:val="clear"/>
        <w:rPr>
          <w:highlight w:val="none"/>
        </w:rPr>
      </w:pPr>
      <w:r>
        <w:rPr>
          <w:highlight w:val="none"/>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pPr>
        <w:pStyle w:val="30"/>
        <w:shd w:val="clear"/>
        <w:rPr>
          <w:highlight w:val="none"/>
        </w:rPr>
      </w:pPr>
      <w:r>
        <w:rPr>
          <w:highlight w:val="none"/>
        </w:rPr>
        <w:t>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pPr>
        <w:pStyle w:val="30"/>
        <w:shd w:val="clear"/>
        <w:rPr>
          <w:highlight w:val="none"/>
        </w:rPr>
      </w:pPr>
      <w:r>
        <w:rPr>
          <w:highlight w:val="none"/>
        </w:rPr>
        <w:t>Запрещение закачки отработанных вод в подземные горизонты, подземного складирования твердых отходов и разработки недр земли.</w:t>
      </w:r>
    </w:p>
    <w:p>
      <w:pPr>
        <w:pStyle w:val="30"/>
        <w:shd w:val="clear"/>
        <w:rPr>
          <w:highlight w:val="none"/>
        </w:rPr>
      </w:pPr>
      <w:r>
        <w:rPr>
          <w:highlight w:val="none"/>
        </w:rPr>
        <w:t>Запрещение размещения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pPr>
        <w:pStyle w:val="30"/>
        <w:shd w:val="clear"/>
        <w:rPr>
          <w:highlight w:val="none"/>
        </w:rPr>
      </w:pPr>
      <w:r>
        <w:rPr>
          <w:highlight w:val="none"/>
        </w:rPr>
        <w:t>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pPr>
        <w:pStyle w:val="30"/>
        <w:shd w:val="clear"/>
        <w:rPr>
          <w:highlight w:val="none"/>
        </w:rPr>
      </w:pPr>
      <w:r>
        <w:rPr>
          <w:highlight w:val="none"/>
        </w:rPr>
        <w:t>Согласно справке Администрации муниципального образования «Городской округ Ногликский» Сахалинской области № 5.07-2410/22 от 10.06.2022 г на территории муниципального образования «Городской округ Ногликский» имеются источники питьевого водоснабжения со следующими зонами санитарной охраны источников питьевого водоснабжения:</w:t>
      </w:r>
    </w:p>
    <w:p>
      <w:pPr>
        <w:pStyle w:val="30"/>
        <w:numPr>
          <w:ilvl w:val="0"/>
          <w:numId w:val="10"/>
        </w:numPr>
        <w:shd w:val="clear"/>
        <w:rPr>
          <w:highlight w:val="none"/>
        </w:rPr>
      </w:pPr>
      <w:r>
        <w:rPr>
          <w:highlight w:val="none"/>
        </w:rPr>
        <w:t>станция обезжелезивания (ВОС) – 30 м;</w:t>
      </w:r>
    </w:p>
    <w:p>
      <w:pPr>
        <w:pStyle w:val="30"/>
        <w:numPr>
          <w:ilvl w:val="0"/>
          <w:numId w:val="10"/>
        </w:numPr>
        <w:shd w:val="clear"/>
        <w:rPr>
          <w:highlight w:val="none"/>
        </w:rPr>
      </w:pPr>
      <w:r>
        <w:rPr>
          <w:highlight w:val="none"/>
        </w:rPr>
        <w:t>водозабор «Усть-Уйглекуты»: I пояс – 30 м, II пояс – 540 м, III пояс – 3840 м.</w:t>
      </w:r>
    </w:p>
    <w:p>
      <w:pPr>
        <w:pStyle w:val="30"/>
        <w:shd w:val="clear"/>
        <w:rPr>
          <w:highlight w:val="none"/>
        </w:rPr>
      </w:pPr>
      <w:r>
        <w:rPr>
          <w:highlight w:val="none"/>
        </w:rPr>
        <w:t>На рассматриваемую территорию попадает только III пояс охраны водозабора «Усть-Уйглекуты».</w:t>
      </w:r>
    </w:p>
    <w:p>
      <w:pPr>
        <w:pStyle w:val="30"/>
        <w:shd w:val="clear"/>
        <w:ind w:firstLine="709"/>
        <w:rPr>
          <w:rStyle w:val="29"/>
          <w:iCs w:val="0"/>
          <w:highlight w:val="none"/>
        </w:rPr>
      </w:pPr>
    </w:p>
    <w:p>
      <w:pPr>
        <w:keepNext/>
        <w:shd w:val="clear"/>
        <w:ind w:firstLine="567"/>
        <w:rPr>
          <w:b/>
          <w:sz w:val="24"/>
          <w:szCs w:val="24"/>
          <w:highlight w:val="none"/>
        </w:rPr>
      </w:pPr>
      <w:bookmarkStart w:id="28" w:name="_Toc82105663"/>
      <w:r>
        <w:rPr>
          <w:b/>
          <w:sz w:val="24"/>
          <w:szCs w:val="24"/>
          <w:highlight w:val="none"/>
        </w:rPr>
        <w:t>Приаэродромная территория</w:t>
      </w:r>
      <w:bookmarkEnd w:id="28"/>
    </w:p>
    <w:p>
      <w:pPr>
        <w:pStyle w:val="30"/>
        <w:shd w:val="clear"/>
        <w:rPr>
          <w:szCs w:val="24"/>
          <w:highlight w:val="none"/>
        </w:rPr>
      </w:pPr>
      <w:r>
        <w:rPr>
          <w:highlight w:val="none"/>
        </w:rPr>
        <w:t xml:space="preserve">Приаэродромная территория устанавливается решением уполномоченного Правительством Российской Федерации федерального органа исполнительной власти в целях обеспечения безопасности полетов воздушных судов, перспективного развития аэропорта и исключения негативного воздействия оборудования аэродрома и полетов воздушных судов на здоровье человека и окружающую среду в соответствии с Воздушным кодексом Российской Федерации, земельным законодательством, законодательством о градостроительной деятельности с учетом требований </w:t>
      </w:r>
      <w:r>
        <w:rPr>
          <w:szCs w:val="24"/>
          <w:highlight w:val="none"/>
        </w:rPr>
        <w:t>законодательства в области обеспечения санитарно-эпидемиологического благополучия населения.</w:t>
      </w:r>
    </w:p>
    <w:p>
      <w:pPr>
        <w:pStyle w:val="30"/>
        <w:shd w:val="clear"/>
        <w:rPr>
          <w:szCs w:val="24"/>
          <w:highlight w:val="none"/>
        </w:rPr>
      </w:pPr>
      <w:r>
        <w:rPr>
          <w:szCs w:val="24"/>
          <w:highlight w:val="none"/>
        </w:rPr>
        <w:t>На приаэродромной территории могут выделяться следующие подзоны, в которых устанавливаются ограничения использования объектов недвижимости и осуществления деятельности:</w:t>
      </w:r>
    </w:p>
    <w:p>
      <w:pPr>
        <w:pStyle w:val="22"/>
        <w:numPr>
          <w:ilvl w:val="0"/>
          <w:numId w:val="11"/>
        </w:numPr>
        <w:shd w:val="clear"/>
        <w:tabs>
          <w:tab w:val="left" w:pos="851"/>
        </w:tabs>
        <w:ind w:left="0" w:firstLine="567"/>
        <w:contextualSpacing w:val="0"/>
        <w:rPr>
          <w:sz w:val="24"/>
          <w:szCs w:val="24"/>
          <w:highlight w:val="none"/>
        </w:rPr>
      </w:pPr>
      <w:r>
        <w:rPr>
          <w:sz w:val="24"/>
          <w:szCs w:val="24"/>
          <w:highlight w:val="none"/>
        </w:rPr>
        <w:t>первая подзона, в которой запрещается размещать объекты, не предназначенные для организации и обслуживания воздушного движения и воздушных перевозок, обеспечения взлета, посадки, руления и стоянки воздушных судов;</w:t>
      </w:r>
    </w:p>
    <w:p>
      <w:pPr>
        <w:pStyle w:val="22"/>
        <w:numPr>
          <w:ilvl w:val="0"/>
          <w:numId w:val="11"/>
        </w:numPr>
        <w:shd w:val="clear"/>
        <w:tabs>
          <w:tab w:val="left" w:pos="851"/>
        </w:tabs>
        <w:ind w:left="0" w:firstLine="567"/>
        <w:contextualSpacing w:val="0"/>
        <w:rPr>
          <w:sz w:val="24"/>
          <w:szCs w:val="24"/>
          <w:highlight w:val="none"/>
        </w:rPr>
      </w:pPr>
      <w:r>
        <w:rPr>
          <w:sz w:val="24"/>
          <w:szCs w:val="24"/>
          <w:highlight w:val="none"/>
        </w:rPr>
        <w:t>вторая подзона, в которой запрещается размещать объекты, не предназначенные для обслуживания пассажиров и обработки багажа, грузов и почты, обслуживания воздушных судов, хранения авиационного топлива и заправки воздушных судов, обеспечения энергоснабжения, а также объекты, не относящиеся к инфраструктуре аэропорта;</w:t>
      </w:r>
    </w:p>
    <w:p>
      <w:pPr>
        <w:pStyle w:val="22"/>
        <w:numPr>
          <w:ilvl w:val="0"/>
          <w:numId w:val="11"/>
        </w:numPr>
        <w:shd w:val="clear"/>
        <w:tabs>
          <w:tab w:val="left" w:pos="851"/>
        </w:tabs>
        <w:ind w:left="0" w:firstLine="567"/>
        <w:contextualSpacing w:val="0"/>
        <w:rPr>
          <w:sz w:val="24"/>
          <w:szCs w:val="24"/>
          <w:highlight w:val="none"/>
        </w:rPr>
      </w:pPr>
      <w:r>
        <w:rPr>
          <w:sz w:val="24"/>
          <w:szCs w:val="24"/>
          <w:highlight w:val="none"/>
        </w:rPr>
        <w:t>третья подзона, в которой запрещается размещать объекты, высота которых превышает ограничения, установленные уполномоченным Правительством Российской Федерации федеральным органом исполнительной власти при установлении соответствующей приаэродромной территории;</w:t>
      </w:r>
    </w:p>
    <w:p>
      <w:pPr>
        <w:pStyle w:val="22"/>
        <w:numPr>
          <w:ilvl w:val="0"/>
          <w:numId w:val="11"/>
        </w:numPr>
        <w:shd w:val="clear"/>
        <w:tabs>
          <w:tab w:val="left" w:pos="851"/>
        </w:tabs>
        <w:ind w:left="0" w:firstLine="567"/>
        <w:contextualSpacing w:val="0"/>
        <w:rPr>
          <w:sz w:val="24"/>
          <w:szCs w:val="24"/>
          <w:highlight w:val="none"/>
        </w:rPr>
      </w:pPr>
      <w:r>
        <w:rPr>
          <w:sz w:val="24"/>
          <w:szCs w:val="24"/>
          <w:highlight w:val="none"/>
        </w:rPr>
        <w:t>четвертая подзона, в которой 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 и расположенных вне первой подзоны;</w:t>
      </w:r>
    </w:p>
    <w:p>
      <w:pPr>
        <w:pStyle w:val="22"/>
        <w:numPr>
          <w:ilvl w:val="0"/>
          <w:numId w:val="11"/>
        </w:numPr>
        <w:shd w:val="clear"/>
        <w:tabs>
          <w:tab w:val="left" w:pos="851"/>
        </w:tabs>
        <w:ind w:left="0" w:firstLine="567"/>
        <w:contextualSpacing w:val="0"/>
        <w:rPr>
          <w:sz w:val="24"/>
          <w:szCs w:val="24"/>
          <w:highlight w:val="none"/>
        </w:rPr>
      </w:pPr>
      <w:r>
        <w:rPr>
          <w:sz w:val="24"/>
          <w:szCs w:val="24"/>
          <w:highlight w:val="none"/>
        </w:rPr>
        <w:t>пятая подзона, в которой запрещается размещать опасные производственные объекты, функционирование которых может повлиять на безопасность полетов воздушных судов;</w:t>
      </w:r>
    </w:p>
    <w:p>
      <w:pPr>
        <w:pStyle w:val="22"/>
        <w:numPr>
          <w:ilvl w:val="0"/>
          <w:numId w:val="11"/>
        </w:numPr>
        <w:shd w:val="clear"/>
        <w:tabs>
          <w:tab w:val="left" w:pos="851"/>
        </w:tabs>
        <w:ind w:left="0" w:firstLine="567"/>
        <w:contextualSpacing w:val="0"/>
        <w:rPr>
          <w:sz w:val="24"/>
          <w:szCs w:val="24"/>
          <w:highlight w:val="none"/>
        </w:rPr>
      </w:pPr>
      <w:r>
        <w:rPr>
          <w:sz w:val="24"/>
          <w:szCs w:val="24"/>
          <w:highlight w:val="none"/>
        </w:rPr>
        <w:t>шестая подзона, в которой запрещается размещать объекты, способствующие привлечению и массовому скоплению птиц;</w:t>
      </w:r>
    </w:p>
    <w:p>
      <w:pPr>
        <w:pStyle w:val="22"/>
        <w:numPr>
          <w:ilvl w:val="0"/>
          <w:numId w:val="11"/>
        </w:numPr>
        <w:shd w:val="clear"/>
        <w:tabs>
          <w:tab w:val="left" w:pos="851"/>
        </w:tabs>
        <w:ind w:left="0" w:firstLine="567"/>
        <w:contextualSpacing w:val="0"/>
        <w:rPr>
          <w:sz w:val="24"/>
          <w:szCs w:val="24"/>
          <w:highlight w:val="none"/>
        </w:rPr>
      </w:pPr>
      <w:r>
        <w:rPr>
          <w:sz w:val="24"/>
          <w:szCs w:val="24"/>
          <w:highlight w:val="none"/>
        </w:rPr>
        <w:t>седьмая подзона, в которой ввиду превышения уровня шумового, электромагнитного воздействий, концентраций загрязняющих веществ в атмосферном воздухе запрещается размещать объекты, виды которых в зависимости от их функционального назначения определяются уполномоченным Правительством Российской Федерации федеральным органом исполнительной власти при установлении соответствующей приаэродромной территории с учетом требований законодательства в области обеспечения санитарно-эпидемиологического благополучия населения, если иное не установлено федеральными законами.</w:t>
      </w:r>
    </w:p>
    <w:p>
      <w:pPr>
        <w:pStyle w:val="30"/>
        <w:shd w:val="clear"/>
        <w:spacing w:line="276" w:lineRule="auto"/>
        <w:rPr>
          <w:rStyle w:val="29"/>
          <w:iCs w:val="0"/>
          <w:szCs w:val="24"/>
          <w:highlight w:val="none"/>
        </w:rPr>
      </w:pPr>
      <w:r>
        <w:rPr>
          <w:rStyle w:val="29"/>
          <w:iCs w:val="0"/>
          <w:szCs w:val="24"/>
          <w:highlight w:val="none"/>
        </w:rPr>
        <w:t>Согласно справке Министерства транспорта и дорожного хозяйства Сахалинской области № 3.09-2749/22 от 01.06.2022 на территории муниципального образования «Городской округ Ногликский» имеется аэропорт «Ноглики», расположенные в 2,5 км к югу от поселка городского типа Ноглики.</w:t>
      </w:r>
    </w:p>
    <w:p>
      <w:pPr>
        <w:pStyle w:val="30"/>
        <w:shd w:val="clear"/>
        <w:spacing w:line="276" w:lineRule="auto"/>
        <w:rPr>
          <w:rStyle w:val="29"/>
          <w:iCs w:val="0"/>
          <w:szCs w:val="24"/>
          <w:highlight w:val="none"/>
        </w:rPr>
      </w:pPr>
      <w:r>
        <w:rPr>
          <w:rStyle w:val="29"/>
          <w:iCs w:val="0"/>
          <w:szCs w:val="24"/>
          <w:highlight w:val="none"/>
        </w:rPr>
        <w:t>Приказом Дальневосточного межрегионального территориального управления воздушного транспорта Федерального агентства воздушного транспорта от 01.04.2019 № 96-П утверждена приаэродромная территория аэродрома гражданской авиации Ноглики.</w:t>
      </w:r>
    </w:p>
    <w:p>
      <w:pPr>
        <w:pStyle w:val="30"/>
        <w:shd w:val="clear"/>
        <w:spacing w:line="276" w:lineRule="auto"/>
        <w:rPr>
          <w:rStyle w:val="29"/>
          <w:iCs w:val="0"/>
          <w:szCs w:val="24"/>
          <w:highlight w:val="none"/>
        </w:rPr>
      </w:pPr>
      <w:r>
        <w:rPr>
          <w:rStyle w:val="29"/>
          <w:iCs w:val="0"/>
          <w:szCs w:val="24"/>
          <w:highlight w:val="none"/>
        </w:rPr>
        <w:t>Приказом Дальневосточного межрегионального территориального управления воздушного транспорта Федерального агентства воздушного транспорта от 16.11.2021 № 274-П внесены изменения в приаэродромную территорию аэродрома гражданской авиации Ноглики.</w:t>
      </w:r>
    </w:p>
    <w:p>
      <w:pPr>
        <w:pStyle w:val="30"/>
        <w:shd w:val="clear"/>
        <w:spacing w:line="276" w:lineRule="auto"/>
        <w:rPr>
          <w:rStyle w:val="29"/>
          <w:iCs w:val="0"/>
          <w:szCs w:val="24"/>
          <w:highlight w:val="none"/>
        </w:rPr>
      </w:pPr>
      <w:r>
        <w:rPr>
          <w:rStyle w:val="29"/>
          <w:iCs w:val="0"/>
          <w:szCs w:val="24"/>
          <w:highlight w:val="none"/>
        </w:rPr>
        <w:t>Филиалом ФГБУ «ФКП Росреестра» по Сахалинской области на основании вышеуказанного приказа внесены изменения в реестр границ Единого государственного реестра недвижимости сведений о зонах с особыми условиями использования территорий.</w:t>
      </w:r>
    </w:p>
    <w:p>
      <w:pPr>
        <w:pStyle w:val="30"/>
        <w:shd w:val="clear"/>
        <w:spacing w:line="276" w:lineRule="auto"/>
        <w:rPr>
          <w:rStyle w:val="29"/>
          <w:iCs w:val="0"/>
          <w:szCs w:val="24"/>
          <w:highlight w:val="none"/>
        </w:rPr>
      </w:pPr>
      <w:r>
        <w:rPr>
          <w:rStyle w:val="29"/>
          <w:iCs w:val="0"/>
          <w:szCs w:val="24"/>
          <w:highlight w:val="none"/>
        </w:rPr>
        <w:t>На территорию проекта планировки попадает приаэродромная территория аэродрома Ноглики третья и четвертая подзоны.</w:t>
      </w:r>
    </w:p>
    <w:p>
      <w:pPr>
        <w:shd w:val="clear"/>
        <w:autoSpaceDE w:val="0"/>
        <w:autoSpaceDN w:val="0"/>
        <w:adjustRightInd w:val="0"/>
        <w:spacing w:before="120" w:after="120" w:line="276" w:lineRule="auto"/>
        <w:rPr>
          <w:sz w:val="24"/>
          <w:szCs w:val="24"/>
          <w:highlight w:val="none"/>
        </w:rPr>
      </w:pPr>
      <w:r>
        <w:rPr>
          <w:b/>
          <w:sz w:val="24"/>
          <w:szCs w:val="24"/>
          <w:highlight w:val="none"/>
        </w:rPr>
        <w:t>Охранные зоны линий и сооружений связи</w:t>
      </w:r>
    </w:p>
    <w:p>
      <w:pPr>
        <w:shd w:val="clear"/>
        <w:autoSpaceDE w:val="0"/>
        <w:autoSpaceDN w:val="0"/>
        <w:adjustRightInd w:val="0"/>
        <w:spacing w:before="120" w:after="120" w:line="276" w:lineRule="auto"/>
        <w:rPr>
          <w:sz w:val="24"/>
          <w:szCs w:val="24"/>
          <w:highlight w:val="none"/>
        </w:rPr>
      </w:pPr>
      <w:r>
        <w:rPr>
          <w:sz w:val="24"/>
          <w:szCs w:val="24"/>
          <w:highlight w:val="none"/>
        </w:rPr>
        <w:t>На трассах кабельных и воздушных линий связи и линий радиофикации в соответствии с Правилами охраны линий и сооружений связи Российской Федерации, утвержденными постановлением Правительства Российской Федерации от 9 июня 1995 г. № 578, устанавливаются охранные зоны с особыми условиями использования:</w:t>
      </w:r>
    </w:p>
    <w:p>
      <w:pPr>
        <w:pStyle w:val="22"/>
        <w:numPr>
          <w:ilvl w:val="0"/>
          <w:numId w:val="12"/>
        </w:numPr>
        <w:shd w:val="clear"/>
        <w:autoSpaceDE w:val="0"/>
        <w:autoSpaceDN w:val="0"/>
        <w:adjustRightInd w:val="0"/>
        <w:spacing w:before="120" w:after="120" w:line="276" w:lineRule="auto"/>
        <w:rPr>
          <w:rFonts w:eastAsia="Calibri"/>
          <w:sz w:val="24"/>
          <w:szCs w:val="24"/>
          <w:highlight w:val="none"/>
        </w:rPr>
      </w:pPr>
      <w:r>
        <w:rPr>
          <w:rFonts w:eastAsia="Calibri"/>
          <w:sz w:val="24"/>
          <w:szCs w:val="24"/>
          <w:highlight w:val="none"/>
        </w:rPr>
        <w:t>для подземных кабельных и для воздушных линий связи и линий радиофикации, расположенных вне населённых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 с каждой стороны;</w:t>
      </w:r>
    </w:p>
    <w:p>
      <w:pPr>
        <w:pStyle w:val="22"/>
        <w:numPr>
          <w:ilvl w:val="0"/>
          <w:numId w:val="12"/>
        </w:numPr>
        <w:shd w:val="clear"/>
        <w:autoSpaceDE w:val="0"/>
        <w:autoSpaceDN w:val="0"/>
        <w:adjustRightInd w:val="0"/>
        <w:spacing w:before="120" w:after="120" w:line="276" w:lineRule="auto"/>
        <w:rPr>
          <w:rFonts w:eastAsia="Calibri"/>
          <w:sz w:val="24"/>
          <w:szCs w:val="24"/>
          <w:highlight w:val="none"/>
        </w:rPr>
      </w:pPr>
      <w:r>
        <w:rPr>
          <w:rFonts w:eastAsia="Calibri"/>
          <w:sz w:val="24"/>
          <w:szCs w:val="24"/>
          <w:highlight w:val="none"/>
        </w:rPr>
        <w:t>создаются просеки в лесных массивах и зелёных насаждениях:</w:t>
      </w:r>
    </w:p>
    <w:p>
      <w:pPr>
        <w:pStyle w:val="22"/>
        <w:numPr>
          <w:ilvl w:val="0"/>
          <w:numId w:val="12"/>
        </w:numPr>
        <w:shd w:val="clear"/>
        <w:autoSpaceDE w:val="0"/>
        <w:autoSpaceDN w:val="0"/>
        <w:adjustRightInd w:val="0"/>
        <w:spacing w:before="120" w:after="120" w:line="276" w:lineRule="auto"/>
        <w:rPr>
          <w:rFonts w:eastAsia="Calibri"/>
          <w:sz w:val="24"/>
          <w:szCs w:val="24"/>
          <w:highlight w:val="none"/>
        </w:rPr>
      </w:pPr>
      <w:r>
        <w:rPr>
          <w:rFonts w:eastAsia="Calibri"/>
          <w:sz w:val="24"/>
          <w:szCs w:val="24"/>
          <w:highlight w:val="none"/>
        </w:rPr>
        <w:t>при высоте насаждений менее 4 м – шириной не менее расстояния между крайними проводами воздушных линий связи и линий радиофикации плюс 4 м (по 2 м с каждой стороны от крайних проводов до ветвей деревьев);</w:t>
      </w:r>
    </w:p>
    <w:p>
      <w:pPr>
        <w:pStyle w:val="22"/>
        <w:numPr>
          <w:ilvl w:val="0"/>
          <w:numId w:val="12"/>
        </w:numPr>
        <w:shd w:val="clear"/>
        <w:autoSpaceDE w:val="0"/>
        <w:autoSpaceDN w:val="0"/>
        <w:adjustRightInd w:val="0"/>
        <w:spacing w:before="120" w:after="120" w:line="276" w:lineRule="auto"/>
        <w:rPr>
          <w:rFonts w:eastAsia="Calibri"/>
          <w:sz w:val="24"/>
          <w:szCs w:val="24"/>
          <w:highlight w:val="none"/>
        </w:rPr>
      </w:pPr>
      <w:r>
        <w:rPr>
          <w:rFonts w:eastAsia="Calibri"/>
          <w:sz w:val="24"/>
          <w:szCs w:val="24"/>
          <w:highlight w:val="none"/>
        </w:rPr>
        <w:t>при высоте насаждений более 4 м – шириной не менее расстояния между крайними проводами воздушных линий связи и линий радиофикации плюс 6 м (по 3 м с каждой стороны от крайних проводов до ветвей деревьев);</w:t>
      </w:r>
    </w:p>
    <w:p>
      <w:pPr>
        <w:pStyle w:val="22"/>
        <w:numPr>
          <w:ilvl w:val="0"/>
          <w:numId w:val="12"/>
        </w:numPr>
        <w:shd w:val="clear"/>
        <w:autoSpaceDE w:val="0"/>
        <w:autoSpaceDN w:val="0"/>
        <w:adjustRightInd w:val="0"/>
        <w:spacing w:before="120" w:after="120" w:line="276" w:lineRule="auto"/>
        <w:rPr>
          <w:rFonts w:eastAsia="Calibri"/>
          <w:sz w:val="24"/>
          <w:szCs w:val="24"/>
          <w:highlight w:val="none"/>
        </w:rPr>
      </w:pPr>
      <w:r>
        <w:rPr>
          <w:rFonts w:eastAsia="Calibri"/>
          <w:sz w:val="24"/>
          <w:szCs w:val="24"/>
          <w:highlight w:val="none"/>
        </w:rPr>
        <w:t xml:space="preserve">вдоль трассы кабеля связи – шириной не менее 6 м (по 3 м с </w:t>
      </w:r>
      <w:r>
        <w:rPr>
          <w:sz w:val="24"/>
          <w:szCs w:val="24"/>
          <w:highlight w:val="none"/>
        </w:rPr>
        <w:t>каждой стороны от кабеля связи).</w:t>
      </w:r>
    </w:p>
    <w:p>
      <w:pPr>
        <w:shd w:val="clear"/>
        <w:autoSpaceDE w:val="0"/>
        <w:autoSpaceDN w:val="0"/>
        <w:adjustRightInd w:val="0"/>
        <w:spacing w:before="120" w:after="120" w:line="276" w:lineRule="auto"/>
        <w:rPr>
          <w:rStyle w:val="29"/>
          <w:iCs w:val="0"/>
          <w:highlight w:val="none"/>
        </w:rPr>
      </w:pPr>
      <w:r>
        <w:rPr>
          <w:sz w:val="24"/>
          <w:szCs w:val="24"/>
          <w:highlight w:val="none"/>
        </w:rPr>
        <w:t>Все работы в охранных зонах линий и сооружений связи, линий и сооружений радиофикации выполняются с соблюдением действующих нормативных документов по правилам производства и приёмки работ.</w:t>
      </w:r>
    </w:p>
    <w:p>
      <w:pPr>
        <w:shd w:val="clear"/>
        <w:spacing w:line="276" w:lineRule="auto"/>
        <w:rPr>
          <w:b/>
          <w:bCs/>
          <w:sz w:val="24"/>
          <w:szCs w:val="24"/>
          <w:highlight w:val="none"/>
        </w:rPr>
      </w:pPr>
      <w:r>
        <w:rPr>
          <w:b/>
          <w:bCs/>
          <w:sz w:val="24"/>
          <w:szCs w:val="24"/>
          <w:highlight w:val="none"/>
        </w:rPr>
        <w:t>Объекты культурного наследия</w:t>
      </w:r>
    </w:p>
    <w:p>
      <w:pPr>
        <w:shd w:val="clear"/>
        <w:spacing w:line="276" w:lineRule="auto"/>
        <w:rPr>
          <w:sz w:val="24"/>
          <w:szCs w:val="24"/>
          <w:highlight w:val="none"/>
        </w:rPr>
      </w:pPr>
      <w:r>
        <w:rPr>
          <w:sz w:val="24"/>
          <w:szCs w:val="24"/>
          <w:highlight w:val="none"/>
        </w:rPr>
        <w:t xml:space="preserve">В границах проекта планировки территории объекты культурного наследия, включенные в Единый государственный реестр объектов культурного наследия (памятников истории и культуры) народов Российской Федерации, выявленные объекты культурного наследия отсутствуют. Рассматриваемая территория располагается вне границ зон охраны и защитных зон объектов культурного наследия. </w:t>
      </w:r>
    </w:p>
    <w:p>
      <w:pPr>
        <w:shd w:val="clear"/>
        <w:spacing w:line="276" w:lineRule="auto"/>
        <w:rPr>
          <w:sz w:val="24"/>
          <w:szCs w:val="24"/>
          <w:highlight w:val="none"/>
        </w:rPr>
      </w:pPr>
    </w:p>
    <w:p>
      <w:pPr>
        <w:shd w:val="clear"/>
        <w:spacing w:line="276" w:lineRule="auto"/>
        <w:rPr>
          <w:b/>
          <w:bCs/>
          <w:sz w:val="24"/>
          <w:szCs w:val="24"/>
          <w:highlight w:val="none"/>
        </w:rPr>
      </w:pPr>
      <w:r>
        <w:rPr>
          <w:b/>
          <w:bCs/>
          <w:sz w:val="24"/>
          <w:szCs w:val="24"/>
          <w:highlight w:val="none"/>
        </w:rPr>
        <w:t>Особо охраняемые природные территории.</w:t>
      </w:r>
    </w:p>
    <w:p>
      <w:pPr>
        <w:shd w:val="clear"/>
        <w:spacing w:line="276" w:lineRule="auto"/>
        <w:rPr>
          <w:sz w:val="24"/>
          <w:szCs w:val="24"/>
          <w:highlight w:val="none"/>
        </w:rPr>
      </w:pPr>
      <w:r>
        <w:rPr>
          <w:sz w:val="24"/>
          <w:szCs w:val="24"/>
          <w:highlight w:val="none"/>
        </w:rPr>
        <w:t>В границах проекта планировки территории особо охраняемые природные территории местного значения, полигоны ТБО   отсутствуют.</w:t>
      </w:r>
    </w:p>
    <w:p>
      <w:pPr>
        <w:pStyle w:val="30"/>
        <w:shd w:val="clear"/>
        <w:spacing w:line="276" w:lineRule="auto"/>
        <w:rPr>
          <w:rStyle w:val="54"/>
          <w:rFonts w:eastAsiaTheme="majorEastAsia"/>
          <w:szCs w:val="24"/>
          <w:highlight w:val="none"/>
        </w:rPr>
      </w:pPr>
    </w:p>
    <w:p>
      <w:pPr>
        <w:pStyle w:val="2"/>
        <w:shd w:val="clear"/>
        <w:spacing w:line="276" w:lineRule="auto"/>
        <w:ind w:firstLine="0"/>
        <w:rPr>
          <w:rFonts w:ascii="Times New Roman" w:hAnsi="Times New Roman" w:cs="Times New Roman"/>
          <w:b/>
          <w:bCs/>
          <w:color w:val="auto"/>
          <w:sz w:val="24"/>
          <w:szCs w:val="24"/>
          <w:highlight w:val="none"/>
        </w:rPr>
      </w:pPr>
      <w:bookmarkStart w:id="29" w:name="_Toc141885076"/>
      <w:r>
        <w:rPr>
          <w:rFonts w:ascii="Times New Roman" w:hAnsi="Times New Roman" w:cs="Times New Roman"/>
          <w:b/>
          <w:bCs/>
          <w:color w:val="auto"/>
          <w:sz w:val="24"/>
          <w:szCs w:val="24"/>
          <w:highlight w:val="none"/>
        </w:rPr>
        <w:t>3. Обоснование определения границ зон планируемого размещения объектов капитального строительства</w:t>
      </w:r>
      <w:bookmarkEnd w:id="29"/>
    </w:p>
    <w:p>
      <w:pPr>
        <w:shd w:val="clear"/>
        <w:spacing w:line="276" w:lineRule="auto"/>
        <w:rPr>
          <w:highlight w:val="none"/>
        </w:rPr>
      </w:pPr>
    </w:p>
    <w:p>
      <w:pPr>
        <w:shd w:val="clear"/>
        <w:spacing w:line="276" w:lineRule="auto"/>
        <w:rPr>
          <w:sz w:val="24"/>
          <w:szCs w:val="24"/>
          <w:highlight w:val="none"/>
        </w:rPr>
      </w:pPr>
      <w:r>
        <w:rPr>
          <w:sz w:val="24"/>
          <w:szCs w:val="24"/>
          <w:highlight w:val="none"/>
        </w:rPr>
        <w:t>Архитектурно-планировочное решение по застройке проектируемой территории выполнено с учетом решений генерального плана, правил землепользования и застройки, а также с учетом инженерно-геологических и экологических ограничений.</w:t>
      </w:r>
    </w:p>
    <w:p>
      <w:pPr>
        <w:shd w:val="clear"/>
        <w:spacing w:line="276" w:lineRule="auto"/>
        <w:rPr>
          <w:sz w:val="24"/>
          <w:szCs w:val="24"/>
          <w:highlight w:val="none"/>
        </w:rPr>
      </w:pPr>
      <w:r>
        <w:rPr>
          <w:sz w:val="24"/>
          <w:szCs w:val="24"/>
          <w:highlight w:val="none"/>
        </w:rPr>
        <w:t>Согласно функциональному зонированию Генерального плана муниципального образования «Городской округ Ноглики», утвержденного решением Собрания муниципального образования «Городской округ Ноглики» №7-1141 от 06.05.2019 года на рассматриваемой территории расположены:</w:t>
      </w:r>
    </w:p>
    <w:p>
      <w:pPr>
        <w:pStyle w:val="22"/>
        <w:numPr>
          <w:ilvl w:val="0"/>
          <w:numId w:val="13"/>
        </w:numPr>
        <w:shd w:val="clear"/>
        <w:spacing w:line="276" w:lineRule="auto"/>
        <w:rPr>
          <w:sz w:val="24"/>
          <w:szCs w:val="24"/>
          <w:highlight w:val="none"/>
        </w:rPr>
      </w:pPr>
      <w:r>
        <w:rPr>
          <w:sz w:val="24"/>
          <w:szCs w:val="24"/>
          <w:highlight w:val="none"/>
        </w:rPr>
        <w:t>зона застройки индивидуальными жилыми домами;</w:t>
      </w:r>
    </w:p>
    <w:p>
      <w:pPr>
        <w:pStyle w:val="22"/>
        <w:numPr>
          <w:ilvl w:val="0"/>
          <w:numId w:val="13"/>
        </w:numPr>
        <w:shd w:val="clear"/>
        <w:spacing w:line="276" w:lineRule="auto"/>
        <w:rPr>
          <w:sz w:val="24"/>
          <w:szCs w:val="24"/>
          <w:highlight w:val="none"/>
        </w:rPr>
      </w:pPr>
      <w:r>
        <w:rPr>
          <w:sz w:val="24"/>
          <w:szCs w:val="24"/>
          <w:highlight w:val="none"/>
        </w:rPr>
        <w:t>общественно-деловая зона;</w:t>
      </w:r>
    </w:p>
    <w:p>
      <w:pPr>
        <w:pStyle w:val="22"/>
        <w:numPr>
          <w:ilvl w:val="0"/>
          <w:numId w:val="13"/>
        </w:numPr>
        <w:shd w:val="clear"/>
        <w:spacing w:line="276" w:lineRule="auto"/>
        <w:rPr>
          <w:sz w:val="24"/>
          <w:szCs w:val="24"/>
          <w:highlight w:val="none"/>
        </w:rPr>
      </w:pPr>
      <w:r>
        <w:rPr>
          <w:sz w:val="24"/>
          <w:szCs w:val="24"/>
          <w:highlight w:val="none"/>
          <w:lang w:val="ru-RU"/>
        </w:rPr>
        <w:t>л</w:t>
      </w:r>
      <w:r>
        <w:rPr>
          <w:sz w:val="24"/>
          <w:szCs w:val="24"/>
          <w:highlight w:val="none"/>
        </w:rPr>
        <w:t>есопарковая зона;</w:t>
      </w:r>
    </w:p>
    <w:p>
      <w:pPr>
        <w:pStyle w:val="22"/>
        <w:numPr>
          <w:ilvl w:val="0"/>
          <w:numId w:val="13"/>
        </w:numPr>
        <w:shd w:val="clear"/>
        <w:spacing w:line="276" w:lineRule="auto"/>
        <w:rPr>
          <w:sz w:val="24"/>
          <w:szCs w:val="24"/>
          <w:highlight w:val="none"/>
        </w:rPr>
      </w:pPr>
      <w:r>
        <w:rPr>
          <w:sz w:val="24"/>
          <w:szCs w:val="24"/>
          <w:highlight w:val="none"/>
          <w:lang w:val="ru-RU"/>
        </w:rPr>
        <w:t>зона</w:t>
      </w:r>
      <w:r>
        <w:rPr>
          <w:rFonts w:hint="default"/>
          <w:sz w:val="24"/>
          <w:szCs w:val="24"/>
          <w:highlight w:val="none"/>
          <w:lang w:val="ru-RU"/>
        </w:rPr>
        <w:t xml:space="preserve"> озеленения общего пользования;</w:t>
      </w:r>
    </w:p>
    <w:p>
      <w:pPr>
        <w:pStyle w:val="22"/>
        <w:numPr>
          <w:ilvl w:val="0"/>
          <w:numId w:val="13"/>
        </w:numPr>
        <w:shd w:val="clear"/>
        <w:spacing w:line="276" w:lineRule="auto"/>
        <w:rPr>
          <w:sz w:val="24"/>
          <w:szCs w:val="24"/>
          <w:highlight w:val="none"/>
        </w:rPr>
      </w:pPr>
      <w:r>
        <w:rPr>
          <w:sz w:val="24"/>
          <w:szCs w:val="24"/>
          <w:highlight w:val="none"/>
          <w:lang w:val="ru-RU"/>
        </w:rPr>
        <w:t>зона</w:t>
      </w:r>
      <w:r>
        <w:rPr>
          <w:rFonts w:hint="default"/>
          <w:sz w:val="24"/>
          <w:szCs w:val="24"/>
          <w:highlight w:val="none"/>
          <w:lang w:val="ru-RU"/>
        </w:rPr>
        <w:t xml:space="preserve"> транспортной инфраструктуры;</w:t>
      </w:r>
    </w:p>
    <w:p>
      <w:pPr>
        <w:pStyle w:val="22"/>
        <w:numPr>
          <w:ilvl w:val="0"/>
          <w:numId w:val="13"/>
        </w:numPr>
        <w:shd w:val="clear"/>
        <w:spacing w:line="276" w:lineRule="auto"/>
        <w:rPr>
          <w:sz w:val="24"/>
          <w:szCs w:val="24"/>
          <w:highlight w:val="none"/>
        </w:rPr>
      </w:pPr>
      <w:r>
        <w:rPr>
          <w:rFonts w:hint="default"/>
          <w:sz w:val="24"/>
          <w:szCs w:val="24"/>
          <w:highlight w:val="none"/>
          <w:lang w:val="ru-RU"/>
        </w:rPr>
        <w:t>зона инженерной инфраструктуры;</w:t>
      </w:r>
    </w:p>
    <w:p>
      <w:pPr>
        <w:shd w:val="clear"/>
        <w:spacing w:line="276" w:lineRule="auto"/>
        <w:rPr>
          <w:sz w:val="24"/>
          <w:szCs w:val="24"/>
          <w:highlight w:val="none"/>
        </w:rPr>
      </w:pPr>
      <w:r>
        <w:rPr>
          <w:sz w:val="24"/>
          <w:szCs w:val="24"/>
          <w:highlight w:val="none"/>
        </w:rPr>
        <w:t>Кроме того, положением о территориальном планировании Генерального плана муниципального образования «Городской округ Ноглики» на рассматриваемой территории предусмотрено размещение дошкольной образовательной организации</w:t>
      </w:r>
      <w:r>
        <w:rPr>
          <w:rFonts w:hint="default"/>
          <w:sz w:val="24"/>
          <w:szCs w:val="24"/>
          <w:highlight w:val="none"/>
          <w:lang w:val="ru-RU"/>
        </w:rPr>
        <w:t xml:space="preserve">, </w:t>
      </w:r>
      <w:r>
        <w:rPr>
          <w:sz w:val="24"/>
          <w:szCs w:val="24"/>
          <w:highlight w:val="none"/>
        </w:rPr>
        <w:t>канализационной насосной станции</w:t>
      </w:r>
      <w:r>
        <w:rPr>
          <w:rFonts w:hint="default"/>
          <w:sz w:val="24"/>
          <w:szCs w:val="24"/>
          <w:highlight w:val="none"/>
          <w:lang w:val="ru-RU"/>
        </w:rPr>
        <w:t xml:space="preserve"> и котельной</w:t>
      </w:r>
      <w:r>
        <w:rPr>
          <w:sz w:val="24"/>
          <w:szCs w:val="24"/>
          <w:highlight w:val="none"/>
        </w:rPr>
        <w:t>.</w:t>
      </w:r>
    </w:p>
    <w:p>
      <w:pPr>
        <w:shd w:val="clear"/>
        <w:spacing w:line="276" w:lineRule="auto"/>
        <w:rPr>
          <w:sz w:val="24"/>
          <w:szCs w:val="24"/>
          <w:highlight w:val="none"/>
        </w:rPr>
      </w:pPr>
      <w:r>
        <w:rPr>
          <w:sz w:val="24"/>
          <w:szCs w:val="24"/>
          <w:highlight w:val="none"/>
        </w:rPr>
        <w:t>На территории разработки проекта планировки микрорайона №1</w:t>
      </w:r>
      <w:r>
        <w:rPr>
          <w:rFonts w:hint="default"/>
          <w:sz w:val="24"/>
          <w:szCs w:val="24"/>
          <w:highlight w:val="none"/>
          <w:lang w:val="ru-RU"/>
        </w:rPr>
        <w:t>5</w:t>
      </w:r>
      <w:r>
        <w:rPr>
          <w:sz w:val="24"/>
          <w:szCs w:val="24"/>
          <w:highlight w:val="none"/>
        </w:rPr>
        <w:t xml:space="preserve"> правовой режим земельных участков и объектов капитального строительства регламентирован градостроительным зонированием Правил землепользования и застройки муниципального образования «Городской округ Ногликский», утвержденных решением №152 от 25.06.2021 Собрания муниципального образования «Городской округ Ногликский».</w:t>
      </w:r>
    </w:p>
    <w:p>
      <w:pPr>
        <w:shd w:val="clear"/>
        <w:spacing w:line="276" w:lineRule="auto"/>
        <w:rPr>
          <w:sz w:val="24"/>
          <w:szCs w:val="24"/>
          <w:highlight w:val="none"/>
        </w:rPr>
      </w:pPr>
      <w:r>
        <w:rPr>
          <w:sz w:val="24"/>
          <w:szCs w:val="24"/>
          <w:highlight w:val="none"/>
        </w:rPr>
        <w:t>Виды разрешенного использования земельных участков и объектов капитального строительства для территориальных зон, расположенных в границах анализируемого микрорайона приведены в таблице 3 – 1.</w:t>
      </w:r>
    </w:p>
    <w:p>
      <w:pPr>
        <w:shd w:val="clear"/>
        <w:spacing w:line="276" w:lineRule="auto"/>
        <w:rPr>
          <w:sz w:val="24"/>
          <w:szCs w:val="24"/>
          <w:highlight w:val="none"/>
        </w:rPr>
      </w:pPr>
      <w:r>
        <w:rPr>
          <w:sz w:val="24"/>
          <w:szCs w:val="24"/>
          <w:highlight w:val="none"/>
        </w:rPr>
        <w:t>Таблица 3 – 1 Виды разрешенного использования земельных участков и объектов капитального строительства для территориальных зон</w:t>
      </w:r>
    </w:p>
    <w:tbl>
      <w:tblPr>
        <w:tblStyle w:val="19"/>
        <w:tblW w:w="93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
        <w:gridCol w:w="2103"/>
        <w:gridCol w:w="2552"/>
        <w:gridCol w:w="2087"/>
        <w:gridCol w:w="2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dxa"/>
          </w:tcPr>
          <w:p>
            <w:pPr>
              <w:shd w:val="clear"/>
              <w:spacing w:line="276" w:lineRule="auto"/>
              <w:ind w:firstLine="29"/>
              <w:rPr>
                <w:b/>
                <w:color w:val="000000" w:themeColor="text1"/>
                <w:sz w:val="20"/>
                <w:szCs w:val="20"/>
                <w:highlight w:val="none"/>
                <w14:textFill>
                  <w14:solidFill>
                    <w14:schemeClr w14:val="tx1"/>
                  </w14:solidFill>
                </w14:textFill>
              </w:rPr>
            </w:pPr>
            <w:r>
              <w:rPr>
                <w:b/>
                <w:sz w:val="20"/>
                <w:szCs w:val="20"/>
                <w:highlight w:val="none"/>
              </w:rPr>
              <w:t>№ п/п.</w:t>
            </w:r>
          </w:p>
        </w:tc>
        <w:tc>
          <w:tcPr>
            <w:tcW w:w="2103" w:type="dxa"/>
          </w:tcPr>
          <w:p>
            <w:pPr>
              <w:shd w:val="clear"/>
              <w:spacing w:line="276" w:lineRule="auto"/>
              <w:ind w:firstLine="29"/>
              <w:rPr>
                <w:b/>
                <w:color w:val="000000" w:themeColor="text1"/>
                <w:sz w:val="20"/>
                <w:szCs w:val="20"/>
                <w:highlight w:val="none"/>
                <w14:textFill>
                  <w14:solidFill>
                    <w14:schemeClr w14:val="tx1"/>
                  </w14:solidFill>
                </w14:textFill>
              </w:rPr>
            </w:pPr>
            <w:r>
              <w:rPr>
                <w:b/>
                <w:sz w:val="20"/>
                <w:szCs w:val="20"/>
                <w:highlight w:val="none"/>
              </w:rPr>
              <w:t>Наименование территориальной зоны (код территориальной зоны)</w:t>
            </w:r>
          </w:p>
        </w:tc>
        <w:tc>
          <w:tcPr>
            <w:tcW w:w="2552" w:type="dxa"/>
          </w:tcPr>
          <w:p>
            <w:pPr>
              <w:shd w:val="clear"/>
              <w:spacing w:line="276" w:lineRule="auto"/>
              <w:ind w:firstLine="29"/>
              <w:rPr>
                <w:b/>
                <w:color w:val="000000" w:themeColor="text1"/>
                <w:sz w:val="20"/>
                <w:szCs w:val="20"/>
                <w:highlight w:val="none"/>
                <w14:textFill>
                  <w14:solidFill>
                    <w14:schemeClr w14:val="tx1"/>
                  </w14:solidFill>
                </w14:textFill>
              </w:rPr>
            </w:pPr>
            <w:r>
              <w:rPr>
                <w:b/>
                <w:sz w:val="20"/>
                <w:szCs w:val="20"/>
                <w:highlight w:val="none"/>
              </w:rPr>
              <w:t xml:space="preserve">Основные виды разрешенного использования земельных участков </w:t>
            </w:r>
          </w:p>
        </w:tc>
        <w:tc>
          <w:tcPr>
            <w:tcW w:w="2087" w:type="dxa"/>
          </w:tcPr>
          <w:p>
            <w:pPr>
              <w:shd w:val="clear"/>
              <w:spacing w:line="276" w:lineRule="auto"/>
              <w:ind w:firstLine="29"/>
              <w:rPr>
                <w:b/>
                <w:color w:val="000000" w:themeColor="text1"/>
                <w:sz w:val="20"/>
                <w:szCs w:val="20"/>
                <w:highlight w:val="none"/>
                <w14:textFill>
                  <w14:solidFill>
                    <w14:schemeClr w14:val="tx1"/>
                  </w14:solidFill>
                </w14:textFill>
              </w:rPr>
            </w:pPr>
            <w:r>
              <w:rPr>
                <w:b/>
                <w:sz w:val="20"/>
                <w:szCs w:val="20"/>
                <w:highlight w:val="none"/>
              </w:rPr>
              <w:t xml:space="preserve">Условно разрешенные виды использования земельных участков </w:t>
            </w:r>
          </w:p>
        </w:tc>
        <w:tc>
          <w:tcPr>
            <w:tcW w:w="2038" w:type="dxa"/>
          </w:tcPr>
          <w:p>
            <w:pPr>
              <w:shd w:val="clear"/>
              <w:spacing w:line="276" w:lineRule="auto"/>
              <w:ind w:firstLine="29"/>
              <w:rPr>
                <w:b/>
                <w:color w:val="000000" w:themeColor="text1"/>
                <w:sz w:val="20"/>
                <w:szCs w:val="20"/>
                <w:highlight w:val="none"/>
                <w14:textFill>
                  <w14:solidFill>
                    <w14:schemeClr w14:val="tx1"/>
                  </w14:solidFill>
                </w14:textFill>
              </w:rPr>
            </w:pPr>
            <w:r>
              <w:rPr>
                <w:b/>
                <w:sz w:val="20"/>
                <w:szCs w:val="20"/>
                <w:highlight w:val="none"/>
              </w:rPr>
              <w:t xml:space="preserve">Вспомогательные виды разрешенного использования земельных участков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dxa"/>
          </w:tcPr>
          <w:p>
            <w:pPr>
              <w:shd w:val="clear"/>
              <w:spacing w:line="276" w:lineRule="auto"/>
              <w:ind w:firstLine="29"/>
              <w:rPr>
                <w:b/>
                <w:sz w:val="20"/>
                <w:szCs w:val="20"/>
                <w:highlight w:val="none"/>
              </w:rPr>
            </w:pPr>
            <w:r>
              <w:rPr>
                <w:b/>
                <w:sz w:val="20"/>
                <w:szCs w:val="20"/>
                <w:highlight w:val="none"/>
              </w:rPr>
              <w:t>1</w:t>
            </w:r>
          </w:p>
        </w:tc>
        <w:tc>
          <w:tcPr>
            <w:tcW w:w="2103" w:type="dxa"/>
          </w:tcPr>
          <w:p>
            <w:pPr>
              <w:shd w:val="clear"/>
              <w:spacing w:line="276" w:lineRule="auto"/>
              <w:ind w:firstLine="29"/>
              <w:rPr>
                <w:b/>
                <w:sz w:val="20"/>
                <w:szCs w:val="20"/>
                <w:highlight w:val="none"/>
              </w:rPr>
            </w:pPr>
            <w:r>
              <w:rPr>
                <w:b/>
                <w:sz w:val="20"/>
                <w:szCs w:val="20"/>
                <w:highlight w:val="none"/>
              </w:rPr>
              <w:t>2</w:t>
            </w:r>
          </w:p>
        </w:tc>
        <w:tc>
          <w:tcPr>
            <w:tcW w:w="2552" w:type="dxa"/>
          </w:tcPr>
          <w:p>
            <w:pPr>
              <w:shd w:val="clear"/>
              <w:spacing w:line="276" w:lineRule="auto"/>
              <w:ind w:firstLine="29"/>
              <w:rPr>
                <w:b/>
                <w:sz w:val="20"/>
                <w:szCs w:val="20"/>
                <w:highlight w:val="none"/>
              </w:rPr>
            </w:pPr>
            <w:r>
              <w:rPr>
                <w:b/>
                <w:sz w:val="20"/>
                <w:szCs w:val="20"/>
                <w:highlight w:val="none"/>
              </w:rPr>
              <w:t>3</w:t>
            </w:r>
          </w:p>
        </w:tc>
        <w:tc>
          <w:tcPr>
            <w:tcW w:w="2087" w:type="dxa"/>
          </w:tcPr>
          <w:p>
            <w:pPr>
              <w:shd w:val="clear"/>
              <w:spacing w:line="276" w:lineRule="auto"/>
              <w:ind w:firstLine="29"/>
              <w:rPr>
                <w:b/>
                <w:sz w:val="20"/>
                <w:szCs w:val="20"/>
                <w:highlight w:val="none"/>
              </w:rPr>
            </w:pPr>
            <w:r>
              <w:rPr>
                <w:b/>
                <w:sz w:val="20"/>
                <w:szCs w:val="20"/>
                <w:highlight w:val="none"/>
              </w:rPr>
              <w:t>4</w:t>
            </w:r>
          </w:p>
        </w:tc>
        <w:tc>
          <w:tcPr>
            <w:tcW w:w="2038" w:type="dxa"/>
          </w:tcPr>
          <w:p>
            <w:pPr>
              <w:shd w:val="clear"/>
              <w:spacing w:line="276" w:lineRule="auto"/>
              <w:ind w:firstLine="29"/>
              <w:rPr>
                <w:b/>
                <w:sz w:val="20"/>
                <w:szCs w:val="20"/>
                <w:highlight w:val="none"/>
              </w:rPr>
            </w:pPr>
            <w:r>
              <w:rPr>
                <w:b/>
                <w:sz w:val="20"/>
                <w:szCs w:val="20"/>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586" w:type="dxa"/>
          </w:tcPr>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1</w:t>
            </w:r>
          </w:p>
        </w:tc>
        <w:tc>
          <w:tcPr>
            <w:tcW w:w="2103" w:type="dxa"/>
            <w:vAlign w:val="top"/>
          </w:tcPr>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Зона застройки индивидуальными жилыми домами и ведения личного подсобного хозяйства (Ж1)</w:t>
            </w:r>
          </w:p>
        </w:tc>
        <w:tc>
          <w:tcPr>
            <w:tcW w:w="2552" w:type="dxa"/>
            <w:vAlign w:val="top"/>
          </w:tcPr>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Для индивидуального жилищного строительства (2.1)</w:t>
            </w:r>
          </w:p>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Блокированная жилая застройка (2.3)</w:t>
            </w:r>
          </w:p>
          <w:p>
            <w:pPr>
              <w:shd w:val="clear"/>
              <w:spacing w:line="276" w:lineRule="auto"/>
              <w:ind w:firstLine="0"/>
              <w:rPr>
                <w:color w:val="000000" w:themeColor="text1"/>
                <w:sz w:val="20"/>
                <w:szCs w:val="20"/>
                <w:highlight w:val="none"/>
                <w14:textFill>
                  <w14:solidFill>
                    <w14:schemeClr w14:val="tx1"/>
                  </w14:solidFill>
                </w14:textFill>
              </w:rPr>
            </w:pPr>
          </w:p>
        </w:tc>
        <w:tc>
          <w:tcPr>
            <w:tcW w:w="2087" w:type="dxa"/>
            <w:vAlign w:val="top"/>
          </w:tcPr>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 xml:space="preserve">Малоэтажная многоквартирная жилая застройка (2.1.1) </w:t>
            </w:r>
          </w:p>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Для ведения личного подсобного хозяйства (2.2)</w:t>
            </w:r>
          </w:p>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 xml:space="preserve">Коммунальное обслуживание (3.1) </w:t>
            </w:r>
          </w:p>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Стоянки транспорта общего пользования (7.2.3)</w:t>
            </w:r>
          </w:p>
        </w:tc>
        <w:tc>
          <w:tcPr>
            <w:tcW w:w="2038" w:type="dxa"/>
            <w:vAlign w:val="top"/>
          </w:tcPr>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 xml:space="preserve">Обслуживание жилой застройки (2.7) </w:t>
            </w:r>
          </w:p>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Хранение автотранспорта (2.7.1)</w:t>
            </w:r>
          </w:p>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Социальное обслуживание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dxa"/>
          </w:tcPr>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2</w:t>
            </w:r>
          </w:p>
        </w:tc>
        <w:tc>
          <w:tcPr>
            <w:tcW w:w="2103" w:type="dxa"/>
            <w:vAlign w:val="top"/>
          </w:tcPr>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Многофункциональная общественно-деловая зона (Од1)</w:t>
            </w:r>
          </w:p>
        </w:tc>
        <w:tc>
          <w:tcPr>
            <w:tcW w:w="2552" w:type="dxa"/>
            <w:vAlign w:val="top"/>
          </w:tcPr>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Социальное обслуживание (3.2)</w:t>
            </w:r>
          </w:p>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Общественное управление (3.8)</w:t>
            </w:r>
          </w:p>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Обеспечение научной деятельности (3.9)</w:t>
            </w:r>
          </w:p>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Обеспечение деятельности в области гидрометеорологии и смежных с ней областях (3.9.1)</w:t>
            </w:r>
          </w:p>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Предпринимательство (4.0)</w:t>
            </w:r>
          </w:p>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Деловое управление (4.1)</w:t>
            </w:r>
          </w:p>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Объекты торговли (торговые центры, торгово-развлекательные центры (комплексы) (4.2)</w:t>
            </w:r>
          </w:p>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Магазины (4.4)</w:t>
            </w:r>
          </w:p>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Банковская и страховая деятельность (4.5)</w:t>
            </w:r>
          </w:p>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Общественное питание (4.6)</w:t>
            </w:r>
          </w:p>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Гостиничное обслуживание (4.7)</w:t>
            </w:r>
          </w:p>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Развлечения (4.8)</w:t>
            </w:r>
          </w:p>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Служебные гаражи (4.9)</w:t>
            </w:r>
          </w:p>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Выставочно-ярмарочная деятельность (4.10)</w:t>
            </w:r>
          </w:p>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Обеспечение внутреннего правопорядка (8.3)</w:t>
            </w:r>
          </w:p>
        </w:tc>
        <w:tc>
          <w:tcPr>
            <w:tcW w:w="2087" w:type="dxa"/>
            <w:vAlign w:val="top"/>
          </w:tcPr>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Амбулаторное ветеринарное обслуживание (3.10.1)</w:t>
            </w:r>
          </w:p>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 xml:space="preserve">Приюты для животных (3.10.2) </w:t>
            </w:r>
          </w:p>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Объекты дорожного сервиса (4.9.1)</w:t>
            </w:r>
          </w:p>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Спорт (5.1)</w:t>
            </w:r>
          </w:p>
          <w:p>
            <w:pPr>
              <w:shd w:val="clear"/>
              <w:spacing w:line="276" w:lineRule="auto"/>
              <w:ind w:firstLine="0"/>
              <w:rPr>
                <w:color w:val="000000" w:themeColor="text1"/>
                <w:sz w:val="20"/>
                <w:szCs w:val="20"/>
                <w:highlight w:val="none"/>
                <w14:textFill>
                  <w14:solidFill>
                    <w14:schemeClr w14:val="tx1"/>
                  </w14:solidFill>
                </w14:textFill>
              </w:rPr>
            </w:pPr>
          </w:p>
        </w:tc>
        <w:tc>
          <w:tcPr>
            <w:tcW w:w="2038" w:type="dxa"/>
            <w:vAlign w:val="top"/>
          </w:tcPr>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Коммунальное обслуживание (3.1)</w:t>
            </w:r>
          </w:p>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Бытовое обслуживание (3.3)</w:t>
            </w:r>
          </w:p>
          <w:p>
            <w:pPr>
              <w:shd w:val="clear"/>
              <w:spacing w:line="276" w:lineRule="auto"/>
              <w:ind w:firstLine="0"/>
              <w:rPr>
                <w:color w:val="000000" w:themeColor="text1"/>
                <w:sz w:val="20"/>
                <w:szCs w:val="20"/>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dxa"/>
          </w:tcPr>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3</w:t>
            </w:r>
          </w:p>
        </w:tc>
        <w:tc>
          <w:tcPr>
            <w:tcW w:w="2103" w:type="dxa"/>
            <w:vAlign w:val="top"/>
          </w:tcPr>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Зона общеобразовательных организаций (Од4)</w:t>
            </w:r>
          </w:p>
        </w:tc>
        <w:tc>
          <w:tcPr>
            <w:tcW w:w="2552" w:type="dxa"/>
            <w:vAlign w:val="top"/>
          </w:tcPr>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Дошкольное, начальное и среднее общее образование (3.5.1)</w:t>
            </w:r>
          </w:p>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Образование и просвещение (3.5)</w:t>
            </w:r>
          </w:p>
        </w:tc>
        <w:tc>
          <w:tcPr>
            <w:tcW w:w="2087" w:type="dxa"/>
            <w:vAlign w:val="top"/>
          </w:tcPr>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Не устанавливается</w:t>
            </w:r>
          </w:p>
        </w:tc>
        <w:tc>
          <w:tcPr>
            <w:tcW w:w="2038" w:type="dxa"/>
            <w:vAlign w:val="top"/>
          </w:tcPr>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Коммунальное обслуживание (3.1)</w:t>
            </w:r>
          </w:p>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Стоянки транспорта общего пользования (7.2.3)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dxa"/>
          </w:tcPr>
          <w:p>
            <w:pPr>
              <w:shd w:val="clear"/>
              <w:spacing w:line="276" w:lineRule="auto"/>
              <w:ind w:firstLine="0"/>
              <w:rPr>
                <w:rFonts w:hint="default"/>
                <w:color w:val="000000" w:themeColor="text1"/>
                <w:sz w:val="20"/>
                <w:szCs w:val="20"/>
                <w:highlight w:val="none"/>
                <w:lang w:val="ru-RU"/>
                <w14:textFill>
                  <w14:solidFill>
                    <w14:schemeClr w14:val="tx1"/>
                  </w14:solidFill>
                </w14:textFill>
              </w:rPr>
            </w:pPr>
            <w:r>
              <w:rPr>
                <w:rFonts w:hint="default"/>
                <w:color w:val="000000" w:themeColor="text1"/>
                <w:sz w:val="20"/>
                <w:szCs w:val="20"/>
                <w:highlight w:val="none"/>
                <w:lang w:val="ru-RU"/>
                <w14:textFill>
                  <w14:solidFill>
                    <w14:schemeClr w14:val="tx1"/>
                  </w14:solidFill>
                </w14:textFill>
              </w:rPr>
              <w:t>4</w:t>
            </w:r>
          </w:p>
        </w:tc>
        <w:tc>
          <w:tcPr>
            <w:tcW w:w="2103" w:type="dxa"/>
            <w:vAlign w:val="top"/>
          </w:tcPr>
          <w:p>
            <w:pPr>
              <w:shd w:val="clear"/>
              <w:spacing w:line="276" w:lineRule="auto"/>
              <w:ind w:firstLine="0"/>
              <w:rPr>
                <w:color w:val="000000" w:themeColor="text1"/>
                <w:sz w:val="20"/>
                <w:szCs w:val="20"/>
                <w:highlight w:val="none"/>
                <w:lang w:val="ru-RU" w:eastAsia="en-US"/>
                <w14:textFill>
                  <w14:solidFill>
                    <w14:schemeClr w14:val="tx1"/>
                  </w14:solidFill>
                </w14:textFill>
              </w:rPr>
            </w:pPr>
            <w:r>
              <w:rPr>
                <w:color w:val="000000" w:themeColor="text1"/>
                <w:sz w:val="20"/>
                <w:szCs w:val="20"/>
                <w:highlight w:val="none"/>
                <w14:textFill>
                  <w14:solidFill>
                    <w14:schemeClr w14:val="tx1"/>
                  </w14:solidFill>
                </w14:textFill>
              </w:rPr>
              <w:t>Зона инженерной инфраструктуры (И)</w:t>
            </w:r>
          </w:p>
        </w:tc>
        <w:tc>
          <w:tcPr>
            <w:tcW w:w="2552" w:type="dxa"/>
            <w:vAlign w:val="top"/>
          </w:tcPr>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Коммунальное обслуживание (3.1)</w:t>
            </w:r>
          </w:p>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Связь (6.8)</w:t>
            </w:r>
          </w:p>
          <w:p>
            <w:pPr>
              <w:shd w:val="clear"/>
              <w:spacing w:line="276" w:lineRule="auto"/>
              <w:ind w:firstLine="0"/>
              <w:rPr>
                <w:color w:val="000000" w:themeColor="text1"/>
                <w:sz w:val="20"/>
                <w:szCs w:val="20"/>
                <w:highlight w:val="none"/>
                <w:lang w:val="ru-RU" w:eastAsia="en-US"/>
                <w14:textFill>
                  <w14:solidFill>
                    <w14:schemeClr w14:val="tx1"/>
                  </w14:solidFill>
                </w14:textFill>
              </w:rPr>
            </w:pPr>
            <w:r>
              <w:rPr>
                <w:color w:val="000000" w:themeColor="text1"/>
                <w:sz w:val="20"/>
                <w:szCs w:val="20"/>
                <w:highlight w:val="none"/>
                <w14:textFill>
                  <w14:solidFill>
                    <w14:schemeClr w14:val="tx1"/>
                  </w14:solidFill>
                </w14:textFill>
              </w:rPr>
              <w:t>Трубопроводный транспорт (7.5)</w:t>
            </w:r>
          </w:p>
        </w:tc>
        <w:tc>
          <w:tcPr>
            <w:tcW w:w="2087" w:type="dxa"/>
            <w:vAlign w:val="top"/>
          </w:tcPr>
          <w:p>
            <w:pPr>
              <w:shd w:val="clear"/>
              <w:spacing w:line="276" w:lineRule="auto"/>
              <w:ind w:firstLine="0"/>
              <w:rPr>
                <w:color w:val="000000" w:themeColor="text1"/>
                <w:sz w:val="20"/>
                <w:szCs w:val="20"/>
                <w:highlight w:val="none"/>
                <w:lang w:val="ru-RU" w:eastAsia="en-US"/>
                <w14:textFill>
                  <w14:solidFill>
                    <w14:schemeClr w14:val="tx1"/>
                  </w14:solidFill>
                </w14:textFill>
              </w:rPr>
            </w:pPr>
            <w:r>
              <w:rPr>
                <w:color w:val="000000" w:themeColor="text1"/>
                <w:sz w:val="20"/>
                <w:szCs w:val="20"/>
                <w:highlight w:val="none"/>
                <w14:textFill>
                  <w14:solidFill>
                    <w14:schemeClr w14:val="tx1"/>
                  </w14:solidFill>
                </w14:textFill>
              </w:rPr>
              <w:t>Не устанавливается</w:t>
            </w:r>
          </w:p>
        </w:tc>
        <w:tc>
          <w:tcPr>
            <w:tcW w:w="2038" w:type="dxa"/>
            <w:vAlign w:val="top"/>
          </w:tcPr>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Хранение автотранспорта (2.7.1)</w:t>
            </w:r>
          </w:p>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Железнодорожный транспорт (7.1)</w:t>
            </w:r>
          </w:p>
          <w:p>
            <w:pPr>
              <w:shd w:val="clear"/>
              <w:spacing w:line="276" w:lineRule="auto"/>
              <w:ind w:firstLine="0"/>
              <w:rPr>
                <w:color w:val="000000" w:themeColor="text1"/>
                <w:sz w:val="20"/>
                <w:szCs w:val="20"/>
                <w:highlight w:val="none"/>
                <w:lang w:val="ru-RU" w:eastAsia="en-US"/>
                <w14:textFill>
                  <w14:solidFill>
                    <w14:schemeClr w14:val="tx1"/>
                  </w14:solidFill>
                </w14:textFill>
              </w:rPr>
            </w:pPr>
            <w:r>
              <w:rPr>
                <w:color w:val="000000" w:themeColor="text1"/>
                <w:sz w:val="20"/>
                <w:szCs w:val="20"/>
                <w:highlight w:val="none"/>
                <w14:textFill>
                  <w14:solidFill>
                    <w14:schemeClr w14:val="tx1"/>
                  </w14:solidFill>
                </w14:textFill>
              </w:rPr>
              <w:t>Автомобильный транспорт (7.2)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dxa"/>
          </w:tcPr>
          <w:p>
            <w:pPr>
              <w:shd w:val="clear"/>
              <w:spacing w:line="276" w:lineRule="auto"/>
              <w:ind w:firstLine="0"/>
              <w:rPr>
                <w:rFonts w:hint="default"/>
                <w:color w:val="000000" w:themeColor="text1"/>
                <w:sz w:val="20"/>
                <w:szCs w:val="20"/>
                <w:highlight w:val="none"/>
                <w:lang w:val="ru-RU"/>
                <w14:textFill>
                  <w14:solidFill>
                    <w14:schemeClr w14:val="tx1"/>
                  </w14:solidFill>
                </w14:textFill>
              </w:rPr>
            </w:pPr>
            <w:r>
              <w:rPr>
                <w:rFonts w:hint="default"/>
                <w:color w:val="000000" w:themeColor="text1"/>
                <w:sz w:val="20"/>
                <w:szCs w:val="20"/>
                <w:highlight w:val="none"/>
                <w:lang w:val="ru-RU"/>
                <w14:textFill>
                  <w14:solidFill>
                    <w14:schemeClr w14:val="tx1"/>
                  </w14:solidFill>
                </w14:textFill>
              </w:rPr>
              <w:t>5</w:t>
            </w:r>
          </w:p>
        </w:tc>
        <w:tc>
          <w:tcPr>
            <w:tcW w:w="2103" w:type="dxa"/>
            <w:vAlign w:val="top"/>
          </w:tcPr>
          <w:p>
            <w:pPr>
              <w:shd w:val="clear"/>
              <w:spacing w:line="276" w:lineRule="auto"/>
              <w:ind w:firstLine="0"/>
              <w:rPr>
                <w:color w:val="000000" w:themeColor="text1"/>
                <w:sz w:val="20"/>
                <w:szCs w:val="20"/>
                <w:highlight w:val="none"/>
                <w:lang w:val="ru-RU" w:eastAsia="ru-RU"/>
                <w14:textFill>
                  <w14:solidFill>
                    <w14:schemeClr w14:val="tx1"/>
                  </w14:solidFill>
                </w14:textFill>
              </w:rPr>
            </w:pPr>
            <w:r>
              <w:rPr>
                <w:color w:val="000000" w:themeColor="text1"/>
                <w:sz w:val="20"/>
                <w:szCs w:val="20"/>
                <w:highlight w:val="none"/>
                <w14:textFill>
                  <w14:solidFill>
                    <w14:schemeClr w14:val="tx1"/>
                  </w14:solidFill>
                </w14:textFill>
              </w:rPr>
              <w:t>Зона транспортной инфраструктуры (Т)</w:t>
            </w:r>
          </w:p>
        </w:tc>
        <w:tc>
          <w:tcPr>
            <w:tcW w:w="2552" w:type="dxa"/>
            <w:vAlign w:val="top"/>
          </w:tcPr>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Хранение автотранспорта (2.7.1)</w:t>
            </w:r>
          </w:p>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 xml:space="preserve">Служебные гаражи (4.9) </w:t>
            </w:r>
          </w:p>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Причалы для маломерных судов (5.4)</w:t>
            </w:r>
          </w:p>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Объекты дорожного сервиса (4.9.1)</w:t>
            </w:r>
          </w:p>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 xml:space="preserve">Транспорт (7.0) </w:t>
            </w:r>
          </w:p>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Водный транспорт (7.3)</w:t>
            </w:r>
          </w:p>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Трубопроводный транспорт (7.5)</w:t>
            </w:r>
          </w:p>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Обеспечение внутреннего правопорядка (8.3)</w:t>
            </w:r>
          </w:p>
          <w:p>
            <w:pPr>
              <w:shd w:val="clear"/>
              <w:spacing w:line="276" w:lineRule="auto"/>
              <w:ind w:firstLine="0"/>
              <w:rPr>
                <w:color w:val="000000" w:themeColor="text1"/>
                <w:sz w:val="20"/>
                <w:szCs w:val="20"/>
                <w:highlight w:val="none"/>
                <w:lang w:val="ru-RU" w:eastAsia="ru-RU"/>
                <w14:textFill>
                  <w14:solidFill>
                    <w14:schemeClr w14:val="tx1"/>
                  </w14:solidFill>
                </w14:textFill>
              </w:rPr>
            </w:pPr>
            <w:r>
              <w:rPr>
                <w:color w:val="000000" w:themeColor="text1"/>
                <w:sz w:val="20"/>
                <w:szCs w:val="20"/>
                <w:highlight w:val="none"/>
                <w14:textFill>
                  <w14:solidFill>
                    <w14:schemeClr w14:val="tx1"/>
                  </w14:solidFill>
                </w14:textFill>
              </w:rPr>
              <w:t>Земельные участки (территории) общего пользования (12.0)</w:t>
            </w:r>
          </w:p>
        </w:tc>
        <w:tc>
          <w:tcPr>
            <w:tcW w:w="2087" w:type="dxa"/>
            <w:vAlign w:val="top"/>
          </w:tcPr>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Строительная промышленность (6.6)</w:t>
            </w:r>
          </w:p>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Склады (6.9)</w:t>
            </w:r>
          </w:p>
          <w:p>
            <w:pPr>
              <w:shd w:val="clear"/>
              <w:spacing w:line="276" w:lineRule="auto"/>
              <w:ind w:firstLine="0"/>
              <w:rPr>
                <w:color w:val="000000" w:themeColor="text1"/>
                <w:sz w:val="20"/>
                <w:szCs w:val="20"/>
                <w:highlight w:val="none"/>
                <w:lang w:val="ru-RU" w:eastAsia="ru-RU"/>
                <w14:textFill>
                  <w14:solidFill>
                    <w14:schemeClr w14:val="tx1"/>
                  </w14:solidFill>
                </w14:textFill>
              </w:rPr>
            </w:pPr>
          </w:p>
        </w:tc>
        <w:tc>
          <w:tcPr>
            <w:tcW w:w="2038" w:type="dxa"/>
            <w:vAlign w:val="top"/>
          </w:tcPr>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Коммунальное обслуживание (3.1)</w:t>
            </w:r>
          </w:p>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Бытовое обслуживание (3.3)</w:t>
            </w:r>
          </w:p>
          <w:p>
            <w:pPr>
              <w:shd w:val="clear"/>
              <w:spacing w:line="276" w:lineRule="auto"/>
              <w:ind w:firstLine="0"/>
              <w:rPr>
                <w:color w:val="000000" w:themeColor="text1"/>
                <w:sz w:val="20"/>
                <w:szCs w:val="20"/>
                <w:highlight w:val="none"/>
                <w:lang w:val="ru-RU" w:eastAsia="ru-RU"/>
                <w14:textFill>
                  <w14:solidFill>
                    <w14:schemeClr w14:val="tx1"/>
                  </w14:solidFill>
                </w14:textFill>
              </w:rPr>
            </w:pPr>
            <w:r>
              <w:rPr>
                <w:color w:val="000000" w:themeColor="text1"/>
                <w:sz w:val="20"/>
                <w:szCs w:val="20"/>
                <w:highlight w:val="none"/>
                <w14:textFill>
                  <w14:solidFill>
                    <w14:schemeClr w14:val="tx1"/>
                  </w14:solidFill>
                </w14:textFill>
              </w:rPr>
              <w:t>Связь (6.8)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dxa"/>
          </w:tcPr>
          <w:p>
            <w:pPr>
              <w:shd w:val="clear"/>
              <w:spacing w:line="276" w:lineRule="auto"/>
              <w:ind w:firstLine="0"/>
              <w:rPr>
                <w:rFonts w:hint="default"/>
                <w:color w:val="000000" w:themeColor="text1"/>
                <w:sz w:val="20"/>
                <w:szCs w:val="20"/>
                <w:highlight w:val="none"/>
                <w:lang w:val="ru-RU"/>
                <w14:textFill>
                  <w14:solidFill>
                    <w14:schemeClr w14:val="tx1"/>
                  </w14:solidFill>
                </w14:textFill>
              </w:rPr>
            </w:pPr>
            <w:r>
              <w:rPr>
                <w:rFonts w:hint="default"/>
                <w:color w:val="000000" w:themeColor="text1"/>
                <w:sz w:val="20"/>
                <w:szCs w:val="20"/>
                <w:highlight w:val="none"/>
                <w:lang w:val="ru-RU"/>
                <w14:textFill>
                  <w14:solidFill>
                    <w14:schemeClr w14:val="tx1"/>
                  </w14:solidFill>
                </w14:textFill>
              </w:rPr>
              <w:t>6</w:t>
            </w:r>
          </w:p>
        </w:tc>
        <w:tc>
          <w:tcPr>
            <w:tcW w:w="2103" w:type="dxa"/>
            <w:vAlign w:val="top"/>
          </w:tcPr>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Зона территорий общего пользования (Р3)</w:t>
            </w:r>
          </w:p>
        </w:tc>
        <w:tc>
          <w:tcPr>
            <w:tcW w:w="2552" w:type="dxa"/>
            <w:vAlign w:val="top"/>
          </w:tcPr>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Общее пользование водными объектами (11.1)</w:t>
            </w:r>
          </w:p>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Земельные участки (территории) общего пользования (12.0)</w:t>
            </w:r>
          </w:p>
        </w:tc>
        <w:tc>
          <w:tcPr>
            <w:tcW w:w="2087" w:type="dxa"/>
            <w:vAlign w:val="top"/>
          </w:tcPr>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Не устанавливается</w:t>
            </w:r>
          </w:p>
        </w:tc>
        <w:tc>
          <w:tcPr>
            <w:tcW w:w="2038" w:type="dxa"/>
            <w:vAlign w:val="top"/>
          </w:tcPr>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Не устанавливается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dxa"/>
          </w:tcPr>
          <w:p>
            <w:pPr>
              <w:shd w:val="clear"/>
              <w:spacing w:line="276" w:lineRule="auto"/>
              <w:ind w:firstLine="0"/>
              <w:rPr>
                <w:rFonts w:hint="default"/>
                <w:color w:val="000000" w:themeColor="text1"/>
                <w:sz w:val="20"/>
                <w:szCs w:val="20"/>
                <w:highlight w:val="none"/>
                <w:lang w:val="ru-RU"/>
                <w14:textFill>
                  <w14:solidFill>
                    <w14:schemeClr w14:val="tx1"/>
                  </w14:solidFill>
                </w14:textFill>
              </w:rPr>
            </w:pPr>
            <w:r>
              <w:rPr>
                <w:rFonts w:hint="default"/>
                <w:color w:val="000000" w:themeColor="text1"/>
                <w:sz w:val="20"/>
                <w:szCs w:val="20"/>
                <w:highlight w:val="none"/>
                <w:lang w:val="ru-RU"/>
                <w14:textFill>
                  <w14:solidFill>
                    <w14:schemeClr w14:val="tx1"/>
                  </w14:solidFill>
                </w14:textFill>
              </w:rPr>
              <w:t>7</w:t>
            </w:r>
          </w:p>
        </w:tc>
        <w:tc>
          <w:tcPr>
            <w:tcW w:w="2103" w:type="dxa"/>
          </w:tcPr>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Лесопарковая зона (Л2)</w:t>
            </w:r>
          </w:p>
        </w:tc>
        <w:tc>
          <w:tcPr>
            <w:tcW w:w="6677" w:type="dxa"/>
            <w:gridSpan w:val="3"/>
          </w:tcPr>
          <w:p>
            <w:pPr>
              <w:shd w:val="clear"/>
              <w:spacing w:line="276" w:lineRule="auto"/>
              <w:ind w:firstLine="0"/>
              <w:rPr>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Не устанавливается</w:t>
            </w:r>
          </w:p>
        </w:tc>
      </w:tr>
    </w:tbl>
    <w:p>
      <w:pPr>
        <w:shd w:val="clear"/>
        <w:spacing w:line="276" w:lineRule="auto"/>
        <w:rPr>
          <w:sz w:val="24"/>
          <w:szCs w:val="24"/>
          <w:highlight w:val="none"/>
        </w:rPr>
      </w:pPr>
      <w:r>
        <w:rPr>
          <w:sz w:val="24"/>
          <w:szCs w:val="24"/>
          <w:highlight w:val="none"/>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территориальных зон, расположенных в границах анализируемого микрорайона приведены в таблице 3 – 2.</w:t>
      </w:r>
    </w:p>
    <w:p>
      <w:pPr>
        <w:shd w:val="clear"/>
        <w:spacing w:line="276" w:lineRule="auto"/>
        <w:rPr>
          <w:sz w:val="24"/>
          <w:szCs w:val="24"/>
          <w:highlight w:val="none"/>
        </w:rPr>
      </w:pPr>
      <w:r>
        <w:rPr>
          <w:sz w:val="24"/>
          <w:szCs w:val="24"/>
          <w:highlight w:val="none"/>
        </w:rPr>
        <w:t>Таблица 3 – 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7"/>
        <w:tblW w:w="9499"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05"/>
        <w:gridCol w:w="2127"/>
        <w:gridCol w:w="772"/>
        <w:gridCol w:w="708"/>
        <w:gridCol w:w="851"/>
        <w:gridCol w:w="992"/>
        <w:gridCol w:w="992"/>
        <w:gridCol w:w="1418"/>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blHeader/>
        </w:trPr>
        <w:tc>
          <w:tcPr>
            <w:tcW w:w="505" w:type="dxa"/>
            <w:vMerge w:val="restart"/>
            <w:tcMar>
              <w:top w:w="0" w:type="dxa"/>
              <w:bottom w:w="0" w:type="dxa"/>
            </w:tcMar>
          </w:tcPr>
          <w:p>
            <w:pPr>
              <w:shd w:val="clear"/>
              <w:spacing w:line="276" w:lineRule="auto"/>
              <w:ind w:firstLine="0"/>
              <w:rPr>
                <w:b/>
                <w:sz w:val="20"/>
                <w:szCs w:val="20"/>
                <w:highlight w:val="none"/>
              </w:rPr>
            </w:pPr>
            <w:r>
              <w:rPr>
                <w:b/>
                <w:sz w:val="20"/>
                <w:szCs w:val="20"/>
                <w:highlight w:val="none"/>
              </w:rPr>
              <w:t>№ п/п</w:t>
            </w:r>
          </w:p>
        </w:tc>
        <w:tc>
          <w:tcPr>
            <w:tcW w:w="2127" w:type="dxa"/>
            <w:vMerge w:val="restart"/>
          </w:tcPr>
          <w:p>
            <w:pPr>
              <w:shd w:val="clear"/>
              <w:spacing w:line="276" w:lineRule="auto"/>
              <w:ind w:firstLine="0"/>
              <w:rPr>
                <w:b/>
                <w:sz w:val="20"/>
                <w:szCs w:val="20"/>
                <w:highlight w:val="none"/>
              </w:rPr>
            </w:pPr>
            <w:r>
              <w:rPr>
                <w:b/>
                <w:sz w:val="20"/>
                <w:szCs w:val="20"/>
                <w:highlight w:val="none"/>
              </w:rPr>
              <w:t>Кодовое обозначение территориальных зон (наименование муниципального образования)</w:t>
            </w:r>
          </w:p>
        </w:tc>
        <w:tc>
          <w:tcPr>
            <w:tcW w:w="6867" w:type="dxa"/>
            <w:gridSpan w:val="7"/>
            <w:shd w:val="clear" w:color="auto" w:fill="FFFFFF"/>
          </w:tcPr>
          <w:p>
            <w:pPr>
              <w:shd w:val="clear"/>
              <w:spacing w:line="276" w:lineRule="auto"/>
              <w:ind w:firstLine="0"/>
              <w:rPr>
                <w:b/>
                <w:sz w:val="20"/>
                <w:szCs w:val="20"/>
                <w:highlight w:val="none"/>
              </w:rPr>
            </w:pPr>
            <w:r>
              <w:rPr>
                <w:b/>
                <w:sz w:val="20"/>
                <w:szCs w:val="20"/>
                <w:highlight w:val="none"/>
              </w:rPr>
              <w:t>Градостроительные регламенты территориальных зон (наименование муниципального образования)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blHeader/>
        </w:trPr>
        <w:tc>
          <w:tcPr>
            <w:tcW w:w="505" w:type="dxa"/>
            <w:vMerge w:val="continue"/>
            <w:tcMar>
              <w:top w:w="0" w:type="dxa"/>
              <w:bottom w:w="0" w:type="dxa"/>
            </w:tcMar>
          </w:tcPr>
          <w:p>
            <w:pPr>
              <w:shd w:val="clear"/>
              <w:spacing w:line="276" w:lineRule="auto"/>
              <w:ind w:firstLine="0"/>
              <w:rPr>
                <w:b/>
                <w:sz w:val="20"/>
                <w:szCs w:val="20"/>
                <w:highlight w:val="none"/>
              </w:rPr>
            </w:pPr>
          </w:p>
        </w:tc>
        <w:tc>
          <w:tcPr>
            <w:tcW w:w="2127" w:type="dxa"/>
            <w:vMerge w:val="continue"/>
          </w:tcPr>
          <w:p>
            <w:pPr>
              <w:shd w:val="clear"/>
              <w:spacing w:line="276" w:lineRule="auto"/>
              <w:ind w:firstLine="0"/>
              <w:rPr>
                <w:b/>
                <w:sz w:val="20"/>
                <w:szCs w:val="20"/>
                <w:highlight w:val="none"/>
              </w:rPr>
            </w:pPr>
          </w:p>
        </w:tc>
        <w:tc>
          <w:tcPr>
            <w:tcW w:w="772" w:type="dxa"/>
            <w:shd w:val="clear" w:color="auto" w:fill="FFFFFF"/>
          </w:tcPr>
          <w:p>
            <w:pPr>
              <w:shd w:val="clear"/>
              <w:spacing w:line="276" w:lineRule="auto"/>
              <w:ind w:firstLine="0"/>
              <w:rPr>
                <w:b/>
                <w:sz w:val="20"/>
                <w:szCs w:val="20"/>
                <w:highlight w:val="none"/>
              </w:rPr>
            </w:pPr>
            <w:r>
              <w:rPr>
                <w:b/>
                <w:sz w:val="20"/>
                <w:szCs w:val="20"/>
                <w:highlight w:val="none"/>
              </w:rPr>
              <w:t>S min, (га)</w:t>
            </w:r>
          </w:p>
        </w:tc>
        <w:tc>
          <w:tcPr>
            <w:tcW w:w="708" w:type="dxa"/>
            <w:shd w:val="clear" w:color="auto" w:fill="FFFFFF"/>
          </w:tcPr>
          <w:p>
            <w:pPr>
              <w:shd w:val="clear"/>
              <w:spacing w:line="276" w:lineRule="auto"/>
              <w:ind w:firstLine="0"/>
              <w:rPr>
                <w:b/>
                <w:sz w:val="20"/>
                <w:szCs w:val="20"/>
                <w:highlight w:val="none"/>
              </w:rPr>
            </w:pPr>
            <w:r>
              <w:rPr>
                <w:b/>
                <w:sz w:val="20"/>
                <w:szCs w:val="20"/>
                <w:highlight w:val="none"/>
              </w:rPr>
              <w:t>S max, (га)</w:t>
            </w:r>
          </w:p>
        </w:tc>
        <w:tc>
          <w:tcPr>
            <w:tcW w:w="851" w:type="dxa"/>
            <w:shd w:val="clear" w:color="auto" w:fill="FFFFFF"/>
          </w:tcPr>
          <w:p>
            <w:pPr>
              <w:shd w:val="clear"/>
              <w:spacing w:line="276" w:lineRule="auto"/>
              <w:ind w:firstLine="0"/>
              <w:rPr>
                <w:b/>
                <w:sz w:val="20"/>
                <w:szCs w:val="20"/>
                <w:highlight w:val="none"/>
              </w:rPr>
            </w:pPr>
            <w:r>
              <w:rPr>
                <w:b/>
                <w:sz w:val="20"/>
                <w:szCs w:val="20"/>
                <w:highlight w:val="none"/>
              </w:rPr>
              <w:t>Отступ min, (м)</w:t>
            </w:r>
          </w:p>
        </w:tc>
        <w:tc>
          <w:tcPr>
            <w:tcW w:w="992" w:type="dxa"/>
            <w:shd w:val="clear" w:color="auto" w:fill="FFFFFF"/>
          </w:tcPr>
          <w:p>
            <w:pPr>
              <w:shd w:val="clear"/>
              <w:spacing w:line="276" w:lineRule="auto"/>
              <w:ind w:firstLine="0"/>
              <w:rPr>
                <w:b/>
                <w:sz w:val="20"/>
                <w:szCs w:val="20"/>
                <w:highlight w:val="none"/>
              </w:rPr>
            </w:pPr>
            <w:r>
              <w:rPr>
                <w:b/>
                <w:sz w:val="20"/>
                <w:szCs w:val="20"/>
                <w:highlight w:val="none"/>
              </w:rPr>
              <w:t>Этаж min, (ед.)</w:t>
            </w:r>
          </w:p>
        </w:tc>
        <w:tc>
          <w:tcPr>
            <w:tcW w:w="992" w:type="dxa"/>
            <w:shd w:val="clear" w:color="auto" w:fill="FFFFFF"/>
          </w:tcPr>
          <w:p>
            <w:pPr>
              <w:shd w:val="clear"/>
              <w:spacing w:line="276" w:lineRule="auto"/>
              <w:ind w:firstLine="0"/>
              <w:rPr>
                <w:b/>
                <w:sz w:val="20"/>
                <w:szCs w:val="20"/>
                <w:highlight w:val="none"/>
              </w:rPr>
            </w:pPr>
            <w:r>
              <w:rPr>
                <w:b/>
                <w:sz w:val="20"/>
                <w:szCs w:val="20"/>
                <w:highlight w:val="none"/>
              </w:rPr>
              <w:t>Этаж max, (ед.)</w:t>
            </w:r>
          </w:p>
        </w:tc>
        <w:tc>
          <w:tcPr>
            <w:tcW w:w="1418" w:type="dxa"/>
            <w:shd w:val="clear" w:color="auto" w:fill="FFFFFF"/>
          </w:tcPr>
          <w:p>
            <w:pPr>
              <w:shd w:val="clear"/>
              <w:spacing w:line="276" w:lineRule="auto"/>
              <w:ind w:firstLine="0"/>
              <w:rPr>
                <w:b/>
                <w:sz w:val="20"/>
                <w:szCs w:val="20"/>
                <w:highlight w:val="none"/>
              </w:rPr>
            </w:pPr>
            <w:r>
              <w:rPr>
                <w:b/>
                <w:sz w:val="20"/>
                <w:szCs w:val="20"/>
                <w:highlight w:val="none"/>
              </w:rPr>
              <w:t>Процент застройки min, (процент)</w:t>
            </w:r>
          </w:p>
        </w:tc>
        <w:tc>
          <w:tcPr>
            <w:tcW w:w="1134" w:type="dxa"/>
            <w:shd w:val="clear" w:color="auto" w:fill="FFFFFF"/>
          </w:tcPr>
          <w:p>
            <w:pPr>
              <w:shd w:val="clear"/>
              <w:spacing w:line="276" w:lineRule="auto"/>
              <w:ind w:firstLine="0"/>
              <w:rPr>
                <w:b/>
                <w:sz w:val="20"/>
                <w:szCs w:val="20"/>
                <w:highlight w:val="none"/>
              </w:rPr>
            </w:pPr>
            <w:r>
              <w:rPr>
                <w:b/>
                <w:sz w:val="20"/>
                <w:szCs w:val="20"/>
                <w:highlight w:val="none"/>
              </w:rPr>
              <w:t>Процент застройки max, (процент)</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57" w:type="dxa"/>
            <w:bottom w:w="0" w:type="dxa"/>
            <w:right w:w="57" w:type="dxa"/>
          </w:tblCellMar>
        </w:tblPrEx>
        <w:trPr>
          <w:trHeight w:val="45" w:hRule="atLeast"/>
        </w:trPr>
        <w:tc>
          <w:tcPr>
            <w:tcW w:w="505" w:type="dxa"/>
            <w:tcBorders>
              <w:top w:val="single" w:color="auto" w:sz="4" w:space="0"/>
            </w:tcBorders>
            <w:shd w:val="clear" w:color="auto" w:fill="auto"/>
            <w:tcMar>
              <w:top w:w="0" w:type="dxa"/>
              <w:bottom w:w="0" w:type="dxa"/>
            </w:tcMar>
          </w:tcPr>
          <w:p>
            <w:pPr>
              <w:shd w:val="clear"/>
              <w:spacing w:line="276" w:lineRule="auto"/>
              <w:ind w:firstLine="0"/>
              <w:rPr>
                <w:b/>
                <w:sz w:val="20"/>
                <w:szCs w:val="20"/>
                <w:highlight w:val="none"/>
              </w:rPr>
            </w:pPr>
            <w:r>
              <w:rPr>
                <w:b/>
                <w:sz w:val="20"/>
                <w:szCs w:val="20"/>
                <w:highlight w:val="none"/>
              </w:rPr>
              <w:t>1</w:t>
            </w:r>
          </w:p>
        </w:tc>
        <w:tc>
          <w:tcPr>
            <w:tcW w:w="2127" w:type="dxa"/>
            <w:tcBorders>
              <w:top w:val="single" w:color="auto" w:sz="4" w:space="0"/>
            </w:tcBorders>
            <w:shd w:val="clear" w:color="auto" w:fill="auto"/>
          </w:tcPr>
          <w:p>
            <w:pPr>
              <w:shd w:val="clear"/>
              <w:spacing w:line="276" w:lineRule="auto"/>
              <w:ind w:firstLine="0"/>
              <w:rPr>
                <w:b/>
                <w:sz w:val="20"/>
                <w:szCs w:val="20"/>
                <w:highlight w:val="none"/>
              </w:rPr>
            </w:pPr>
            <w:r>
              <w:rPr>
                <w:b/>
                <w:sz w:val="20"/>
                <w:szCs w:val="20"/>
                <w:highlight w:val="none"/>
              </w:rPr>
              <w:t>2</w:t>
            </w:r>
          </w:p>
        </w:tc>
        <w:tc>
          <w:tcPr>
            <w:tcW w:w="772" w:type="dxa"/>
            <w:tcBorders>
              <w:top w:val="single" w:color="auto" w:sz="4" w:space="0"/>
            </w:tcBorders>
            <w:shd w:val="clear" w:color="auto" w:fill="auto"/>
          </w:tcPr>
          <w:p>
            <w:pPr>
              <w:pStyle w:val="62"/>
              <w:shd w:val="clear"/>
              <w:spacing w:line="276" w:lineRule="auto"/>
              <w:ind w:firstLine="0"/>
              <w:rPr>
                <w:b/>
                <w:sz w:val="20"/>
                <w:szCs w:val="20"/>
                <w:highlight w:val="none"/>
              </w:rPr>
            </w:pPr>
            <w:r>
              <w:rPr>
                <w:b/>
                <w:sz w:val="20"/>
                <w:szCs w:val="20"/>
                <w:highlight w:val="none"/>
              </w:rPr>
              <w:t>3</w:t>
            </w:r>
          </w:p>
        </w:tc>
        <w:tc>
          <w:tcPr>
            <w:tcW w:w="708" w:type="dxa"/>
            <w:tcBorders>
              <w:top w:val="single" w:color="auto" w:sz="4" w:space="0"/>
            </w:tcBorders>
            <w:shd w:val="clear" w:color="auto" w:fill="auto"/>
          </w:tcPr>
          <w:p>
            <w:pPr>
              <w:pStyle w:val="63"/>
              <w:shd w:val="clear"/>
              <w:spacing w:line="276" w:lineRule="auto"/>
              <w:jc w:val="both"/>
              <w:rPr>
                <w:b/>
                <w:sz w:val="20"/>
                <w:szCs w:val="20"/>
                <w:highlight w:val="none"/>
              </w:rPr>
            </w:pPr>
            <w:r>
              <w:rPr>
                <w:b/>
                <w:sz w:val="20"/>
                <w:szCs w:val="20"/>
                <w:highlight w:val="none"/>
              </w:rPr>
              <w:t>4</w:t>
            </w:r>
          </w:p>
        </w:tc>
        <w:tc>
          <w:tcPr>
            <w:tcW w:w="851" w:type="dxa"/>
            <w:tcBorders>
              <w:top w:val="single" w:color="auto" w:sz="4" w:space="0"/>
            </w:tcBorders>
            <w:shd w:val="clear" w:color="auto" w:fill="auto"/>
          </w:tcPr>
          <w:p>
            <w:pPr>
              <w:pStyle w:val="63"/>
              <w:shd w:val="clear"/>
              <w:spacing w:line="276" w:lineRule="auto"/>
              <w:jc w:val="both"/>
              <w:rPr>
                <w:b/>
                <w:sz w:val="20"/>
                <w:szCs w:val="20"/>
                <w:highlight w:val="none"/>
              </w:rPr>
            </w:pPr>
            <w:r>
              <w:rPr>
                <w:b/>
                <w:sz w:val="20"/>
                <w:szCs w:val="20"/>
                <w:highlight w:val="none"/>
              </w:rPr>
              <w:t>5</w:t>
            </w:r>
          </w:p>
        </w:tc>
        <w:tc>
          <w:tcPr>
            <w:tcW w:w="992" w:type="dxa"/>
            <w:tcBorders>
              <w:top w:val="single" w:color="auto" w:sz="4" w:space="0"/>
            </w:tcBorders>
            <w:shd w:val="clear" w:color="auto" w:fill="auto"/>
          </w:tcPr>
          <w:p>
            <w:pPr>
              <w:pStyle w:val="63"/>
              <w:shd w:val="clear"/>
              <w:spacing w:line="276" w:lineRule="auto"/>
              <w:jc w:val="both"/>
              <w:rPr>
                <w:b/>
                <w:sz w:val="20"/>
                <w:szCs w:val="20"/>
                <w:highlight w:val="none"/>
              </w:rPr>
            </w:pPr>
            <w:r>
              <w:rPr>
                <w:b/>
                <w:sz w:val="20"/>
                <w:szCs w:val="20"/>
                <w:highlight w:val="none"/>
              </w:rPr>
              <w:t>6</w:t>
            </w:r>
          </w:p>
        </w:tc>
        <w:tc>
          <w:tcPr>
            <w:tcW w:w="992" w:type="dxa"/>
            <w:tcBorders>
              <w:top w:val="single" w:color="auto" w:sz="4" w:space="0"/>
            </w:tcBorders>
            <w:shd w:val="clear" w:color="auto" w:fill="auto"/>
          </w:tcPr>
          <w:p>
            <w:pPr>
              <w:pStyle w:val="63"/>
              <w:shd w:val="clear"/>
              <w:spacing w:line="276" w:lineRule="auto"/>
              <w:jc w:val="both"/>
              <w:rPr>
                <w:b/>
                <w:sz w:val="20"/>
                <w:szCs w:val="20"/>
                <w:highlight w:val="none"/>
              </w:rPr>
            </w:pPr>
            <w:r>
              <w:rPr>
                <w:b/>
                <w:sz w:val="20"/>
                <w:szCs w:val="20"/>
                <w:highlight w:val="none"/>
              </w:rPr>
              <w:t>7</w:t>
            </w:r>
          </w:p>
        </w:tc>
        <w:tc>
          <w:tcPr>
            <w:tcW w:w="1418" w:type="dxa"/>
            <w:tcBorders>
              <w:top w:val="single" w:color="auto" w:sz="4" w:space="0"/>
            </w:tcBorders>
          </w:tcPr>
          <w:p>
            <w:pPr>
              <w:pStyle w:val="63"/>
              <w:shd w:val="clear"/>
              <w:spacing w:line="276" w:lineRule="auto"/>
              <w:jc w:val="both"/>
              <w:rPr>
                <w:b/>
                <w:sz w:val="20"/>
                <w:szCs w:val="20"/>
                <w:highlight w:val="none"/>
              </w:rPr>
            </w:pPr>
            <w:r>
              <w:rPr>
                <w:b/>
                <w:sz w:val="20"/>
                <w:szCs w:val="20"/>
                <w:highlight w:val="none"/>
              </w:rPr>
              <w:t>8</w:t>
            </w:r>
          </w:p>
        </w:tc>
        <w:tc>
          <w:tcPr>
            <w:tcW w:w="1134" w:type="dxa"/>
            <w:tcBorders>
              <w:top w:val="single" w:color="auto" w:sz="4" w:space="0"/>
            </w:tcBorders>
            <w:shd w:val="clear" w:color="auto" w:fill="auto"/>
          </w:tcPr>
          <w:p>
            <w:pPr>
              <w:pStyle w:val="63"/>
              <w:shd w:val="clear"/>
              <w:spacing w:line="276" w:lineRule="auto"/>
              <w:jc w:val="both"/>
              <w:rPr>
                <w:b/>
                <w:sz w:val="20"/>
                <w:szCs w:val="20"/>
                <w:highlight w:val="none"/>
              </w:rPr>
            </w:pPr>
            <w:r>
              <w:rPr>
                <w:b/>
                <w:sz w:val="20"/>
                <w:szCs w:val="20"/>
                <w:highlight w:val="none"/>
              </w:rPr>
              <w:t>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57" w:type="dxa"/>
            <w:bottom w:w="0" w:type="dxa"/>
            <w:right w:w="57" w:type="dxa"/>
          </w:tblCellMar>
        </w:tblPrEx>
        <w:trPr>
          <w:trHeight w:val="45" w:hRule="atLeast"/>
        </w:trPr>
        <w:tc>
          <w:tcPr>
            <w:tcW w:w="505" w:type="dxa"/>
            <w:tcBorders>
              <w:top w:val="single" w:color="auto" w:sz="4" w:space="0"/>
            </w:tcBorders>
            <w:shd w:val="clear" w:color="auto" w:fill="auto"/>
            <w:tcMar>
              <w:top w:w="0" w:type="dxa"/>
              <w:bottom w:w="0" w:type="dxa"/>
            </w:tcMar>
          </w:tcPr>
          <w:p>
            <w:pPr>
              <w:pStyle w:val="62"/>
              <w:shd w:val="clear"/>
              <w:spacing w:line="276" w:lineRule="auto"/>
              <w:ind w:firstLine="0"/>
              <w:rPr>
                <w:sz w:val="20"/>
                <w:szCs w:val="20"/>
                <w:highlight w:val="none"/>
              </w:rPr>
            </w:pPr>
            <w:r>
              <w:rPr>
                <w:sz w:val="20"/>
                <w:szCs w:val="20"/>
                <w:highlight w:val="none"/>
              </w:rPr>
              <w:t>1</w:t>
            </w:r>
          </w:p>
        </w:tc>
        <w:tc>
          <w:tcPr>
            <w:tcW w:w="2127" w:type="dxa"/>
            <w:tcBorders>
              <w:top w:val="single" w:color="auto" w:sz="4" w:space="0"/>
            </w:tcBorders>
            <w:shd w:val="clear" w:color="auto" w:fill="auto"/>
          </w:tcPr>
          <w:p>
            <w:pPr>
              <w:shd w:val="clear"/>
              <w:spacing w:line="276" w:lineRule="auto"/>
              <w:ind w:firstLine="0"/>
              <w:rPr>
                <w:sz w:val="20"/>
                <w:szCs w:val="20"/>
                <w:highlight w:val="none"/>
              </w:rPr>
            </w:pPr>
            <w:r>
              <w:rPr>
                <w:sz w:val="20"/>
                <w:szCs w:val="20"/>
                <w:highlight w:val="none"/>
              </w:rPr>
              <w:t>Зона застройки индивидуальными жилыми домами (Ж1)</w:t>
            </w:r>
          </w:p>
        </w:tc>
        <w:tc>
          <w:tcPr>
            <w:tcW w:w="772" w:type="dxa"/>
            <w:tcBorders>
              <w:top w:val="single" w:color="auto" w:sz="4" w:space="0"/>
            </w:tcBorders>
            <w:shd w:val="clear" w:color="auto" w:fill="auto"/>
          </w:tcPr>
          <w:p>
            <w:pPr>
              <w:pStyle w:val="62"/>
              <w:shd w:val="clear"/>
              <w:spacing w:line="276" w:lineRule="auto"/>
              <w:ind w:firstLine="0"/>
              <w:rPr>
                <w:sz w:val="20"/>
                <w:szCs w:val="20"/>
                <w:highlight w:val="none"/>
              </w:rPr>
            </w:pPr>
            <w:r>
              <w:rPr>
                <w:sz w:val="20"/>
                <w:szCs w:val="20"/>
                <w:highlight w:val="none"/>
              </w:rPr>
              <w:t>0,04</w:t>
            </w:r>
          </w:p>
        </w:tc>
        <w:tc>
          <w:tcPr>
            <w:tcW w:w="708" w:type="dxa"/>
            <w:tcBorders>
              <w:top w:val="single" w:color="auto" w:sz="4" w:space="0"/>
            </w:tcBorders>
            <w:shd w:val="clear" w:color="auto" w:fill="auto"/>
          </w:tcPr>
          <w:p>
            <w:pPr>
              <w:pStyle w:val="63"/>
              <w:shd w:val="clear"/>
              <w:spacing w:line="276" w:lineRule="auto"/>
              <w:jc w:val="both"/>
              <w:rPr>
                <w:sz w:val="20"/>
                <w:szCs w:val="20"/>
                <w:highlight w:val="none"/>
              </w:rPr>
            </w:pPr>
            <w:r>
              <w:rPr>
                <w:sz w:val="20"/>
                <w:szCs w:val="20"/>
                <w:highlight w:val="none"/>
              </w:rPr>
              <w:t>0,15</w:t>
            </w:r>
          </w:p>
        </w:tc>
        <w:tc>
          <w:tcPr>
            <w:tcW w:w="851" w:type="dxa"/>
            <w:tcBorders>
              <w:top w:val="single" w:color="auto" w:sz="4" w:space="0"/>
            </w:tcBorders>
            <w:shd w:val="clear" w:color="auto" w:fill="auto"/>
          </w:tcPr>
          <w:p>
            <w:pPr>
              <w:pStyle w:val="63"/>
              <w:shd w:val="clear"/>
              <w:spacing w:line="276" w:lineRule="auto"/>
              <w:jc w:val="both"/>
              <w:rPr>
                <w:sz w:val="20"/>
                <w:szCs w:val="20"/>
                <w:highlight w:val="none"/>
              </w:rPr>
            </w:pPr>
            <w:r>
              <w:rPr>
                <w:sz w:val="20"/>
                <w:szCs w:val="20"/>
                <w:highlight w:val="none"/>
              </w:rPr>
              <w:t>3</w:t>
            </w:r>
          </w:p>
        </w:tc>
        <w:tc>
          <w:tcPr>
            <w:tcW w:w="992" w:type="dxa"/>
            <w:tcBorders>
              <w:top w:val="single" w:color="auto" w:sz="4" w:space="0"/>
            </w:tcBorders>
            <w:shd w:val="clear" w:color="auto" w:fill="auto"/>
          </w:tcPr>
          <w:p>
            <w:pPr>
              <w:pStyle w:val="63"/>
              <w:shd w:val="clear"/>
              <w:spacing w:line="276" w:lineRule="auto"/>
              <w:jc w:val="both"/>
              <w:rPr>
                <w:sz w:val="20"/>
                <w:szCs w:val="20"/>
                <w:highlight w:val="none"/>
              </w:rPr>
            </w:pPr>
            <w:r>
              <w:rPr>
                <w:sz w:val="20"/>
                <w:szCs w:val="20"/>
                <w:highlight w:val="none"/>
              </w:rPr>
              <w:t>1</w:t>
            </w:r>
          </w:p>
        </w:tc>
        <w:tc>
          <w:tcPr>
            <w:tcW w:w="992" w:type="dxa"/>
            <w:tcBorders>
              <w:top w:val="single" w:color="auto" w:sz="4" w:space="0"/>
            </w:tcBorders>
            <w:shd w:val="clear" w:color="auto" w:fill="auto"/>
          </w:tcPr>
          <w:p>
            <w:pPr>
              <w:pStyle w:val="63"/>
              <w:shd w:val="clear"/>
              <w:spacing w:line="276" w:lineRule="auto"/>
              <w:jc w:val="both"/>
              <w:rPr>
                <w:sz w:val="20"/>
                <w:szCs w:val="20"/>
                <w:highlight w:val="none"/>
              </w:rPr>
            </w:pPr>
            <w:r>
              <w:rPr>
                <w:sz w:val="20"/>
                <w:szCs w:val="20"/>
                <w:highlight w:val="none"/>
              </w:rPr>
              <w:t>3</w:t>
            </w:r>
          </w:p>
        </w:tc>
        <w:tc>
          <w:tcPr>
            <w:tcW w:w="1418" w:type="dxa"/>
            <w:tcBorders>
              <w:top w:val="single" w:color="auto" w:sz="4" w:space="0"/>
            </w:tcBorders>
          </w:tcPr>
          <w:p>
            <w:pPr>
              <w:pStyle w:val="63"/>
              <w:shd w:val="clear"/>
              <w:spacing w:line="276" w:lineRule="auto"/>
              <w:jc w:val="both"/>
              <w:rPr>
                <w:sz w:val="20"/>
                <w:szCs w:val="20"/>
                <w:highlight w:val="none"/>
              </w:rPr>
            </w:pPr>
            <w:r>
              <w:rPr>
                <w:sz w:val="20"/>
                <w:szCs w:val="20"/>
                <w:highlight w:val="none"/>
              </w:rPr>
              <w:t>10</w:t>
            </w:r>
          </w:p>
        </w:tc>
        <w:tc>
          <w:tcPr>
            <w:tcW w:w="1134" w:type="dxa"/>
            <w:tcBorders>
              <w:top w:val="single" w:color="auto" w:sz="4" w:space="0"/>
            </w:tcBorders>
            <w:shd w:val="clear" w:color="auto" w:fill="auto"/>
          </w:tcPr>
          <w:p>
            <w:pPr>
              <w:pStyle w:val="63"/>
              <w:shd w:val="clear"/>
              <w:spacing w:line="276" w:lineRule="auto"/>
              <w:jc w:val="both"/>
              <w:rPr>
                <w:sz w:val="20"/>
                <w:szCs w:val="20"/>
                <w:highlight w:val="none"/>
              </w:rPr>
            </w:pPr>
            <w:r>
              <w:rPr>
                <w:sz w:val="20"/>
                <w:szCs w:val="20"/>
                <w:highlight w:val="none"/>
              </w:rPr>
              <w:t>60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57" w:type="dxa"/>
            <w:bottom w:w="0" w:type="dxa"/>
            <w:right w:w="57" w:type="dxa"/>
          </w:tblCellMar>
        </w:tblPrEx>
        <w:trPr>
          <w:trHeight w:val="45" w:hRule="atLeast"/>
        </w:trPr>
        <w:tc>
          <w:tcPr>
            <w:tcW w:w="505" w:type="dxa"/>
            <w:tcBorders>
              <w:top w:val="single" w:color="auto" w:sz="4" w:space="0"/>
            </w:tcBorders>
            <w:shd w:val="clear" w:color="auto" w:fill="auto"/>
            <w:tcMar>
              <w:top w:w="0" w:type="dxa"/>
              <w:bottom w:w="0" w:type="dxa"/>
            </w:tcMar>
          </w:tcPr>
          <w:p>
            <w:pPr>
              <w:pStyle w:val="62"/>
              <w:shd w:val="clear"/>
              <w:spacing w:line="276" w:lineRule="auto"/>
              <w:ind w:firstLine="0"/>
              <w:rPr>
                <w:sz w:val="20"/>
                <w:szCs w:val="20"/>
                <w:highlight w:val="none"/>
              </w:rPr>
            </w:pPr>
            <w:r>
              <w:rPr>
                <w:sz w:val="20"/>
                <w:szCs w:val="20"/>
                <w:highlight w:val="none"/>
              </w:rPr>
              <w:t>2</w:t>
            </w:r>
          </w:p>
        </w:tc>
        <w:tc>
          <w:tcPr>
            <w:tcW w:w="2127" w:type="dxa"/>
            <w:tcBorders>
              <w:top w:val="single" w:color="auto" w:sz="4" w:space="0"/>
            </w:tcBorders>
            <w:shd w:val="clear" w:color="auto" w:fill="auto"/>
          </w:tcPr>
          <w:p>
            <w:pPr>
              <w:shd w:val="clear"/>
              <w:spacing w:line="276" w:lineRule="auto"/>
              <w:ind w:firstLine="0"/>
              <w:rPr>
                <w:sz w:val="20"/>
                <w:szCs w:val="20"/>
                <w:highlight w:val="none"/>
              </w:rPr>
            </w:pPr>
            <w:r>
              <w:rPr>
                <w:sz w:val="20"/>
                <w:szCs w:val="20"/>
                <w:highlight w:val="none"/>
              </w:rPr>
              <w:t>Многофункциональная общественно-деловая зона (Од1)</w:t>
            </w:r>
          </w:p>
        </w:tc>
        <w:tc>
          <w:tcPr>
            <w:tcW w:w="772" w:type="dxa"/>
            <w:tcBorders>
              <w:top w:val="single" w:color="auto" w:sz="4" w:space="0"/>
            </w:tcBorders>
            <w:shd w:val="clear" w:color="auto" w:fill="auto"/>
          </w:tcPr>
          <w:p>
            <w:pPr>
              <w:pStyle w:val="62"/>
              <w:shd w:val="clear"/>
              <w:spacing w:line="276" w:lineRule="auto"/>
              <w:ind w:firstLine="0"/>
              <w:rPr>
                <w:sz w:val="20"/>
                <w:szCs w:val="20"/>
                <w:highlight w:val="none"/>
              </w:rPr>
            </w:pPr>
            <w:r>
              <w:rPr>
                <w:sz w:val="20"/>
                <w:szCs w:val="20"/>
                <w:highlight w:val="none"/>
              </w:rPr>
              <w:t>0,1</w:t>
            </w:r>
          </w:p>
        </w:tc>
        <w:tc>
          <w:tcPr>
            <w:tcW w:w="708" w:type="dxa"/>
            <w:tcBorders>
              <w:top w:val="single" w:color="auto" w:sz="4" w:space="0"/>
            </w:tcBorders>
            <w:shd w:val="clear" w:color="auto" w:fill="auto"/>
          </w:tcPr>
          <w:p>
            <w:pPr>
              <w:pStyle w:val="62"/>
              <w:shd w:val="clear"/>
              <w:spacing w:line="276" w:lineRule="auto"/>
              <w:ind w:firstLine="0"/>
              <w:rPr>
                <w:sz w:val="20"/>
                <w:szCs w:val="20"/>
                <w:highlight w:val="none"/>
              </w:rPr>
            </w:pPr>
            <w:r>
              <w:rPr>
                <w:sz w:val="20"/>
                <w:szCs w:val="20"/>
                <w:highlight w:val="none"/>
              </w:rPr>
              <w:t>20,0</w:t>
            </w:r>
          </w:p>
        </w:tc>
        <w:tc>
          <w:tcPr>
            <w:tcW w:w="851" w:type="dxa"/>
            <w:tcBorders>
              <w:top w:val="single" w:color="auto" w:sz="4" w:space="0"/>
            </w:tcBorders>
            <w:shd w:val="clear" w:color="auto" w:fill="auto"/>
          </w:tcPr>
          <w:p>
            <w:pPr>
              <w:pStyle w:val="62"/>
              <w:shd w:val="clear"/>
              <w:spacing w:line="276" w:lineRule="auto"/>
              <w:ind w:firstLine="0"/>
              <w:rPr>
                <w:sz w:val="20"/>
                <w:szCs w:val="20"/>
                <w:highlight w:val="none"/>
              </w:rPr>
            </w:pPr>
            <w:r>
              <w:rPr>
                <w:sz w:val="20"/>
                <w:szCs w:val="20"/>
                <w:highlight w:val="none"/>
              </w:rPr>
              <w:t>3</w:t>
            </w:r>
          </w:p>
        </w:tc>
        <w:tc>
          <w:tcPr>
            <w:tcW w:w="992" w:type="dxa"/>
            <w:tcBorders>
              <w:top w:val="single" w:color="auto" w:sz="4" w:space="0"/>
            </w:tcBorders>
            <w:shd w:val="clear" w:color="auto" w:fill="auto"/>
          </w:tcPr>
          <w:p>
            <w:pPr>
              <w:pStyle w:val="62"/>
              <w:shd w:val="clear"/>
              <w:spacing w:line="276" w:lineRule="auto"/>
              <w:ind w:firstLine="0"/>
              <w:rPr>
                <w:sz w:val="20"/>
                <w:szCs w:val="20"/>
                <w:highlight w:val="none"/>
              </w:rPr>
            </w:pPr>
            <w:r>
              <w:rPr>
                <w:sz w:val="20"/>
                <w:szCs w:val="20"/>
                <w:highlight w:val="none"/>
              </w:rPr>
              <w:t>1</w:t>
            </w:r>
          </w:p>
        </w:tc>
        <w:tc>
          <w:tcPr>
            <w:tcW w:w="992" w:type="dxa"/>
            <w:tcBorders>
              <w:top w:val="single" w:color="auto" w:sz="4" w:space="0"/>
            </w:tcBorders>
            <w:shd w:val="clear" w:color="auto" w:fill="auto"/>
          </w:tcPr>
          <w:p>
            <w:pPr>
              <w:pStyle w:val="62"/>
              <w:shd w:val="clear"/>
              <w:spacing w:line="276" w:lineRule="auto"/>
              <w:ind w:firstLine="0"/>
              <w:rPr>
                <w:sz w:val="20"/>
                <w:szCs w:val="20"/>
                <w:highlight w:val="none"/>
              </w:rPr>
            </w:pPr>
            <w:r>
              <w:rPr>
                <w:sz w:val="20"/>
                <w:szCs w:val="20"/>
                <w:highlight w:val="none"/>
              </w:rPr>
              <w:t>5</w:t>
            </w:r>
          </w:p>
        </w:tc>
        <w:tc>
          <w:tcPr>
            <w:tcW w:w="1418" w:type="dxa"/>
            <w:tcBorders>
              <w:top w:val="single" w:color="auto" w:sz="4" w:space="0"/>
            </w:tcBorders>
          </w:tcPr>
          <w:p>
            <w:pPr>
              <w:pStyle w:val="62"/>
              <w:shd w:val="clear"/>
              <w:spacing w:line="276" w:lineRule="auto"/>
              <w:ind w:firstLine="0"/>
              <w:rPr>
                <w:sz w:val="20"/>
                <w:szCs w:val="20"/>
                <w:highlight w:val="none"/>
              </w:rPr>
            </w:pPr>
            <w:r>
              <w:rPr>
                <w:sz w:val="20"/>
                <w:szCs w:val="20"/>
                <w:highlight w:val="none"/>
              </w:rPr>
              <w:t>20</w:t>
            </w:r>
          </w:p>
        </w:tc>
        <w:tc>
          <w:tcPr>
            <w:tcW w:w="1134" w:type="dxa"/>
            <w:tcBorders>
              <w:top w:val="single" w:color="auto" w:sz="4" w:space="0"/>
            </w:tcBorders>
            <w:shd w:val="clear" w:color="auto" w:fill="auto"/>
          </w:tcPr>
          <w:p>
            <w:pPr>
              <w:pStyle w:val="62"/>
              <w:shd w:val="clear"/>
              <w:spacing w:line="276" w:lineRule="auto"/>
              <w:ind w:firstLine="0"/>
              <w:rPr>
                <w:sz w:val="20"/>
                <w:szCs w:val="20"/>
                <w:highlight w:val="none"/>
              </w:rPr>
            </w:pPr>
            <w:r>
              <w:rPr>
                <w:sz w:val="20"/>
                <w:szCs w:val="20"/>
                <w:highlight w:val="none"/>
              </w:rPr>
              <w:t>80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57" w:type="dxa"/>
            <w:bottom w:w="0" w:type="dxa"/>
            <w:right w:w="57" w:type="dxa"/>
          </w:tblCellMar>
        </w:tblPrEx>
        <w:trPr>
          <w:trHeight w:val="45" w:hRule="atLeast"/>
        </w:trPr>
        <w:tc>
          <w:tcPr>
            <w:tcW w:w="505" w:type="dxa"/>
            <w:tcBorders>
              <w:top w:val="single" w:color="auto" w:sz="4" w:space="0"/>
            </w:tcBorders>
            <w:shd w:val="clear" w:color="auto" w:fill="auto"/>
            <w:tcMar>
              <w:top w:w="0" w:type="dxa"/>
              <w:bottom w:w="0" w:type="dxa"/>
            </w:tcMar>
          </w:tcPr>
          <w:p>
            <w:pPr>
              <w:pStyle w:val="62"/>
              <w:shd w:val="clear"/>
              <w:spacing w:line="276" w:lineRule="auto"/>
              <w:ind w:firstLine="0"/>
              <w:rPr>
                <w:sz w:val="20"/>
                <w:szCs w:val="20"/>
                <w:highlight w:val="none"/>
              </w:rPr>
            </w:pPr>
            <w:r>
              <w:rPr>
                <w:sz w:val="20"/>
                <w:szCs w:val="20"/>
                <w:highlight w:val="none"/>
              </w:rPr>
              <w:t>3</w:t>
            </w:r>
          </w:p>
        </w:tc>
        <w:tc>
          <w:tcPr>
            <w:tcW w:w="2127" w:type="dxa"/>
            <w:tcBorders>
              <w:top w:val="single" w:color="auto" w:sz="4" w:space="0"/>
            </w:tcBorders>
            <w:shd w:val="clear" w:color="auto" w:fill="auto"/>
          </w:tcPr>
          <w:p>
            <w:pPr>
              <w:pStyle w:val="62"/>
              <w:shd w:val="clear"/>
              <w:spacing w:line="276" w:lineRule="auto"/>
              <w:ind w:firstLine="0"/>
              <w:rPr>
                <w:sz w:val="20"/>
                <w:szCs w:val="20"/>
                <w:highlight w:val="none"/>
              </w:rPr>
            </w:pPr>
            <w:r>
              <w:rPr>
                <w:sz w:val="20"/>
                <w:szCs w:val="20"/>
                <w:highlight w:val="none"/>
              </w:rPr>
              <w:t>Зона общеобразовательных организаций (Од4)</w:t>
            </w:r>
          </w:p>
        </w:tc>
        <w:tc>
          <w:tcPr>
            <w:tcW w:w="772" w:type="dxa"/>
            <w:tcBorders>
              <w:top w:val="single" w:color="auto" w:sz="4" w:space="0"/>
            </w:tcBorders>
            <w:shd w:val="clear" w:color="auto" w:fill="auto"/>
          </w:tcPr>
          <w:p>
            <w:pPr>
              <w:pStyle w:val="62"/>
              <w:shd w:val="clear"/>
              <w:spacing w:line="276" w:lineRule="auto"/>
              <w:ind w:firstLine="0"/>
              <w:rPr>
                <w:sz w:val="20"/>
                <w:szCs w:val="20"/>
                <w:highlight w:val="none"/>
              </w:rPr>
            </w:pPr>
            <w:r>
              <w:rPr>
                <w:sz w:val="20"/>
                <w:szCs w:val="20"/>
                <w:highlight w:val="none"/>
              </w:rPr>
              <w:t>0,1</w:t>
            </w:r>
          </w:p>
        </w:tc>
        <w:tc>
          <w:tcPr>
            <w:tcW w:w="708" w:type="dxa"/>
            <w:tcBorders>
              <w:top w:val="single" w:color="auto" w:sz="4" w:space="0"/>
            </w:tcBorders>
            <w:shd w:val="clear" w:color="auto" w:fill="auto"/>
          </w:tcPr>
          <w:p>
            <w:pPr>
              <w:pStyle w:val="62"/>
              <w:shd w:val="clear"/>
              <w:spacing w:line="276" w:lineRule="auto"/>
              <w:ind w:firstLine="0"/>
              <w:rPr>
                <w:sz w:val="20"/>
                <w:szCs w:val="20"/>
                <w:highlight w:val="none"/>
              </w:rPr>
            </w:pPr>
            <w:r>
              <w:rPr>
                <w:sz w:val="20"/>
                <w:szCs w:val="20"/>
                <w:highlight w:val="none"/>
              </w:rPr>
              <w:t>5,0</w:t>
            </w:r>
          </w:p>
        </w:tc>
        <w:tc>
          <w:tcPr>
            <w:tcW w:w="851" w:type="dxa"/>
            <w:tcBorders>
              <w:top w:val="single" w:color="auto" w:sz="4" w:space="0"/>
            </w:tcBorders>
            <w:shd w:val="clear" w:color="auto" w:fill="auto"/>
          </w:tcPr>
          <w:p>
            <w:pPr>
              <w:pStyle w:val="62"/>
              <w:shd w:val="clear"/>
              <w:spacing w:line="276" w:lineRule="auto"/>
              <w:ind w:firstLine="0"/>
              <w:rPr>
                <w:sz w:val="20"/>
                <w:szCs w:val="20"/>
                <w:highlight w:val="none"/>
              </w:rPr>
            </w:pPr>
            <w:r>
              <w:rPr>
                <w:sz w:val="20"/>
                <w:szCs w:val="20"/>
                <w:highlight w:val="none"/>
              </w:rPr>
              <w:t>6</w:t>
            </w:r>
          </w:p>
        </w:tc>
        <w:tc>
          <w:tcPr>
            <w:tcW w:w="992" w:type="dxa"/>
            <w:tcBorders>
              <w:top w:val="single" w:color="auto" w:sz="4" w:space="0"/>
            </w:tcBorders>
            <w:shd w:val="clear" w:color="auto" w:fill="auto"/>
          </w:tcPr>
          <w:p>
            <w:pPr>
              <w:pStyle w:val="62"/>
              <w:shd w:val="clear"/>
              <w:spacing w:line="276" w:lineRule="auto"/>
              <w:ind w:firstLine="0"/>
              <w:rPr>
                <w:sz w:val="20"/>
                <w:szCs w:val="20"/>
                <w:highlight w:val="none"/>
              </w:rPr>
            </w:pPr>
            <w:r>
              <w:rPr>
                <w:sz w:val="20"/>
                <w:szCs w:val="20"/>
                <w:highlight w:val="none"/>
              </w:rPr>
              <w:t>1</w:t>
            </w:r>
          </w:p>
        </w:tc>
        <w:tc>
          <w:tcPr>
            <w:tcW w:w="992" w:type="dxa"/>
            <w:tcBorders>
              <w:top w:val="single" w:color="auto" w:sz="4" w:space="0"/>
            </w:tcBorders>
            <w:shd w:val="clear" w:color="auto" w:fill="auto"/>
          </w:tcPr>
          <w:p>
            <w:pPr>
              <w:pStyle w:val="62"/>
              <w:shd w:val="clear"/>
              <w:spacing w:line="276" w:lineRule="auto"/>
              <w:ind w:firstLine="0"/>
              <w:rPr>
                <w:sz w:val="20"/>
                <w:szCs w:val="20"/>
                <w:highlight w:val="none"/>
              </w:rPr>
            </w:pPr>
            <w:r>
              <w:rPr>
                <w:sz w:val="20"/>
                <w:szCs w:val="20"/>
                <w:highlight w:val="none"/>
              </w:rPr>
              <w:t>3</w:t>
            </w:r>
          </w:p>
        </w:tc>
        <w:tc>
          <w:tcPr>
            <w:tcW w:w="1418" w:type="dxa"/>
            <w:tcBorders>
              <w:top w:val="single" w:color="auto" w:sz="4" w:space="0"/>
            </w:tcBorders>
          </w:tcPr>
          <w:p>
            <w:pPr>
              <w:pStyle w:val="62"/>
              <w:shd w:val="clear"/>
              <w:spacing w:line="276" w:lineRule="auto"/>
              <w:ind w:firstLine="0"/>
              <w:rPr>
                <w:sz w:val="20"/>
                <w:szCs w:val="20"/>
                <w:highlight w:val="none"/>
              </w:rPr>
            </w:pPr>
            <w:r>
              <w:rPr>
                <w:sz w:val="20"/>
                <w:szCs w:val="20"/>
                <w:highlight w:val="none"/>
              </w:rPr>
              <w:t>20</w:t>
            </w:r>
          </w:p>
        </w:tc>
        <w:tc>
          <w:tcPr>
            <w:tcW w:w="1134" w:type="dxa"/>
            <w:tcBorders>
              <w:top w:val="single" w:color="auto" w:sz="4" w:space="0"/>
            </w:tcBorders>
            <w:shd w:val="clear" w:color="auto" w:fill="auto"/>
          </w:tcPr>
          <w:p>
            <w:pPr>
              <w:pStyle w:val="62"/>
              <w:shd w:val="clear"/>
              <w:spacing w:line="276" w:lineRule="auto"/>
              <w:ind w:firstLine="0"/>
              <w:rPr>
                <w:sz w:val="20"/>
                <w:szCs w:val="20"/>
                <w:highlight w:val="none"/>
              </w:rPr>
            </w:pPr>
            <w:r>
              <w:rPr>
                <w:sz w:val="20"/>
                <w:szCs w:val="20"/>
                <w:highlight w:val="none"/>
              </w:rPr>
              <w:t>50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57" w:type="dxa"/>
            <w:bottom w:w="0" w:type="dxa"/>
            <w:right w:w="57" w:type="dxa"/>
          </w:tblCellMar>
        </w:tblPrEx>
        <w:trPr>
          <w:trHeight w:val="45" w:hRule="atLeast"/>
        </w:trPr>
        <w:tc>
          <w:tcPr>
            <w:tcW w:w="505" w:type="dxa"/>
            <w:tcBorders>
              <w:top w:val="single" w:color="auto" w:sz="4" w:space="0"/>
            </w:tcBorders>
            <w:shd w:val="clear" w:color="auto" w:fill="auto"/>
            <w:tcMar>
              <w:top w:w="0" w:type="dxa"/>
              <w:bottom w:w="0" w:type="dxa"/>
            </w:tcMar>
          </w:tcPr>
          <w:p>
            <w:pPr>
              <w:pStyle w:val="62"/>
              <w:shd w:val="clear"/>
              <w:spacing w:line="276" w:lineRule="auto"/>
              <w:ind w:firstLine="0"/>
              <w:rPr>
                <w:sz w:val="20"/>
                <w:szCs w:val="20"/>
                <w:highlight w:val="none"/>
              </w:rPr>
            </w:pPr>
          </w:p>
        </w:tc>
        <w:tc>
          <w:tcPr>
            <w:tcW w:w="2127" w:type="dxa"/>
            <w:tcBorders>
              <w:top w:val="single" w:color="auto" w:sz="4" w:space="0"/>
            </w:tcBorders>
            <w:shd w:val="clear" w:color="auto" w:fill="auto"/>
            <w:vAlign w:val="top"/>
          </w:tcPr>
          <w:p>
            <w:pPr>
              <w:pStyle w:val="62"/>
              <w:shd w:val="clear"/>
              <w:spacing w:line="276" w:lineRule="auto"/>
              <w:ind w:firstLine="0"/>
              <w:rPr>
                <w:sz w:val="20"/>
                <w:szCs w:val="20"/>
                <w:highlight w:val="none"/>
                <w:lang w:val="ru-RU" w:eastAsia="en-US"/>
              </w:rPr>
            </w:pPr>
            <w:r>
              <w:rPr>
                <w:sz w:val="20"/>
                <w:szCs w:val="20"/>
                <w:highlight w:val="none"/>
              </w:rPr>
              <w:t>Зона инженерной инфраструктуры (И)</w:t>
            </w:r>
          </w:p>
        </w:tc>
        <w:tc>
          <w:tcPr>
            <w:tcW w:w="772" w:type="dxa"/>
            <w:tcBorders>
              <w:top w:val="single" w:color="auto" w:sz="4" w:space="0"/>
            </w:tcBorders>
            <w:shd w:val="clear" w:color="auto" w:fill="auto"/>
            <w:vAlign w:val="top"/>
          </w:tcPr>
          <w:p>
            <w:pPr>
              <w:pStyle w:val="62"/>
              <w:shd w:val="clear"/>
              <w:spacing w:line="276" w:lineRule="auto"/>
              <w:ind w:firstLine="0"/>
              <w:rPr>
                <w:sz w:val="20"/>
                <w:szCs w:val="20"/>
                <w:highlight w:val="none"/>
                <w:lang w:val="ru-RU" w:eastAsia="ru-RU"/>
              </w:rPr>
            </w:pPr>
            <w:r>
              <w:rPr>
                <w:sz w:val="20"/>
                <w:szCs w:val="20"/>
                <w:highlight w:val="none"/>
              </w:rPr>
              <w:t>0,001</w:t>
            </w:r>
          </w:p>
        </w:tc>
        <w:tc>
          <w:tcPr>
            <w:tcW w:w="708" w:type="dxa"/>
            <w:tcBorders>
              <w:top w:val="single" w:color="auto" w:sz="4" w:space="0"/>
            </w:tcBorders>
            <w:shd w:val="clear" w:color="auto" w:fill="auto"/>
            <w:vAlign w:val="top"/>
          </w:tcPr>
          <w:p>
            <w:pPr>
              <w:pStyle w:val="62"/>
              <w:shd w:val="clear"/>
              <w:spacing w:line="276" w:lineRule="auto"/>
              <w:ind w:firstLine="0"/>
              <w:rPr>
                <w:sz w:val="20"/>
                <w:szCs w:val="20"/>
                <w:highlight w:val="none"/>
                <w:lang w:val="ru-RU" w:eastAsia="ru-RU"/>
              </w:rPr>
            </w:pPr>
            <w:r>
              <w:rPr>
                <w:sz w:val="20"/>
                <w:szCs w:val="20"/>
                <w:highlight w:val="none"/>
              </w:rPr>
              <w:t>50,0</w:t>
            </w:r>
          </w:p>
        </w:tc>
        <w:tc>
          <w:tcPr>
            <w:tcW w:w="851" w:type="dxa"/>
            <w:tcBorders>
              <w:top w:val="single" w:color="auto" w:sz="4" w:space="0"/>
            </w:tcBorders>
            <w:shd w:val="clear" w:color="auto" w:fill="auto"/>
            <w:vAlign w:val="top"/>
          </w:tcPr>
          <w:p>
            <w:pPr>
              <w:pStyle w:val="62"/>
              <w:shd w:val="clear"/>
              <w:spacing w:line="276" w:lineRule="auto"/>
              <w:ind w:firstLine="0"/>
              <w:rPr>
                <w:sz w:val="20"/>
                <w:szCs w:val="20"/>
                <w:highlight w:val="none"/>
                <w:lang w:val="ru-RU" w:eastAsia="ru-RU"/>
              </w:rPr>
            </w:pPr>
            <w:r>
              <w:rPr>
                <w:sz w:val="20"/>
                <w:szCs w:val="20"/>
                <w:highlight w:val="none"/>
              </w:rPr>
              <w:t>Не устанавливается</w:t>
            </w:r>
          </w:p>
        </w:tc>
        <w:tc>
          <w:tcPr>
            <w:tcW w:w="992" w:type="dxa"/>
            <w:tcBorders>
              <w:top w:val="single" w:color="auto" w:sz="4" w:space="0"/>
            </w:tcBorders>
            <w:shd w:val="clear" w:color="auto" w:fill="auto"/>
            <w:vAlign w:val="top"/>
          </w:tcPr>
          <w:p>
            <w:pPr>
              <w:pStyle w:val="62"/>
              <w:shd w:val="clear"/>
              <w:spacing w:line="276" w:lineRule="auto"/>
              <w:ind w:firstLine="0"/>
              <w:rPr>
                <w:sz w:val="20"/>
                <w:szCs w:val="20"/>
                <w:highlight w:val="none"/>
                <w:lang w:val="ru-RU" w:eastAsia="ru-RU"/>
              </w:rPr>
            </w:pPr>
            <w:r>
              <w:rPr>
                <w:sz w:val="20"/>
                <w:szCs w:val="20"/>
                <w:highlight w:val="none"/>
              </w:rPr>
              <w:t>1</w:t>
            </w:r>
          </w:p>
        </w:tc>
        <w:tc>
          <w:tcPr>
            <w:tcW w:w="992" w:type="dxa"/>
            <w:tcBorders>
              <w:top w:val="single" w:color="auto" w:sz="4" w:space="0"/>
            </w:tcBorders>
            <w:shd w:val="clear" w:color="auto" w:fill="auto"/>
            <w:vAlign w:val="top"/>
          </w:tcPr>
          <w:p>
            <w:pPr>
              <w:pStyle w:val="62"/>
              <w:shd w:val="clear"/>
              <w:spacing w:line="276" w:lineRule="auto"/>
              <w:ind w:firstLine="0"/>
              <w:rPr>
                <w:sz w:val="20"/>
                <w:szCs w:val="20"/>
                <w:highlight w:val="none"/>
                <w:lang w:val="ru-RU" w:eastAsia="ru-RU"/>
              </w:rPr>
            </w:pPr>
            <w:r>
              <w:rPr>
                <w:sz w:val="20"/>
                <w:szCs w:val="20"/>
                <w:highlight w:val="none"/>
              </w:rPr>
              <w:t>3</w:t>
            </w:r>
          </w:p>
        </w:tc>
        <w:tc>
          <w:tcPr>
            <w:tcW w:w="1418" w:type="dxa"/>
            <w:tcBorders>
              <w:top w:val="single" w:color="auto" w:sz="4" w:space="0"/>
            </w:tcBorders>
            <w:vAlign w:val="top"/>
          </w:tcPr>
          <w:p>
            <w:pPr>
              <w:pStyle w:val="62"/>
              <w:shd w:val="clear"/>
              <w:spacing w:line="276" w:lineRule="auto"/>
              <w:ind w:firstLine="0"/>
              <w:rPr>
                <w:sz w:val="20"/>
                <w:szCs w:val="20"/>
                <w:highlight w:val="none"/>
                <w:lang w:val="ru-RU" w:eastAsia="ru-RU"/>
              </w:rPr>
            </w:pPr>
            <w:r>
              <w:rPr>
                <w:sz w:val="20"/>
                <w:szCs w:val="20"/>
                <w:highlight w:val="none"/>
              </w:rPr>
              <w:t>10</w:t>
            </w:r>
          </w:p>
        </w:tc>
        <w:tc>
          <w:tcPr>
            <w:tcW w:w="1134" w:type="dxa"/>
            <w:tcBorders>
              <w:top w:val="single" w:color="auto" w:sz="4" w:space="0"/>
            </w:tcBorders>
            <w:shd w:val="clear" w:color="auto" w:fill="auto"/>
            <w:vAlign w:val="top"/>
          </w:tcPr>
          <w:p>
            <w:pPr>
              <w:pStyle w:val="62"/>
              <w:shd w:val="clear"/>
              <w:spacing w:line="276" w:lineRule="auto"/>
              <w:ind w:firstLine="0"/>
              <w:rPr>
                <w:sz w:val="20"/>
                <w:szCs w:val="20"/>
                <w:highlight w:val="none"/>
                <w:lang w:val="ru-RU" w:eastAsia="ru-RU"/>
              </w:rPr>
            </w:pPr>
            <w:r>
              <w:rPr>
                <w:sz w:val="20"/>
                <w:szCs w:val="20"/>
                <w:highlight w:val="none"/>
              </w:rPr>
              <w:t>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57" w:type="dxa"/>
            <w:bottom w:w="0" w:type="dxa"/>
            <w:right w:w="57" w:type="dxa"/>
          </w:tblCellMar>
        </w:tblPrEx>
        <w:trPr>
          <w:trHeight w:val="45" w:hRule="atLeast"/>
        </w:trPr>
        <w:tc>
          <w:tcPr>
            <w:tcW w:w="505" w:type="dxa"/>
            <w:tcBorders>
              <w:top w:val="single" w:color="auto" w:sz="4" w:space="0"/>
            </w:tcBorders>
            <w:shd w:val="clear" w:color="auto" w:fill="auto"/>
            <w:tcMar>
              <w:top w:w="0" w:type="dxa"/>
              <w:bottom w:w="0" w:type="dxa"/>
            </w:tcMar>
          </w:tcPr>
          <w:p>
            <w:pPr>
              <w:pStyle w:val="62"/>
              <w:shd w:val="clear"/>
              <w:spacing w:line="276" w:lineRule="auto"/>
              <w:ind w:firstLine="0"/>
              <w:rPr>
                <w:sz w:val="20"/>
                <w:szCs w:val="20"/>
                <w:highlight w:val="none"/>
              </w:rPr>
            </w:pPr>
          </w:p>
        </w:tc>
        <w:tc>
          <w:tcPr>
            <w:tcW w:w="2127" w:type="dxa"/>
            <w:tcBorders>
              <w:top w:val="single" w:color="auto" w:sz="4" w:space="0"/>
            </w:tcBorders>
            <w:shd w:val="clear" w:color="auto" w:fill="auto"/>
          </w:tcPr>
          <w:p>
            <w:pPr>
              <w:pStyle w:val="62"/>
              <w:shd w:val="clear"/>
              <w:spacing w:line="276" w:lineRule="auto"/>
              <w:ind w:firstLine="0"/>
              <w:rPr>
                <w:sz w:val="20"/>
                <w:szCs w:val="20"/>
                <w:highlight w:val="none"/>
              </w:rPr>
            </w:pPr>
            <w:r>
              <w:rPr>
                <w:sz w:val="20"/>
                <w:szCs w:val="20"/>
                <w:highlight w:val="none"/>
              </w:rPr>
              <w:t>Зона транспортной инфраструктуры (Т)</w:t>
            </w:r>
          </w:p>
        </w:tc>
        <w:tc>
          <w:tcPr>
            <w:tcW w:w="772" w:type="dxa"/>
            <w:tcBorders>
              <w:top w:val="single" w:color="auto" w:sz="4" w:space="0"/>
            </w:tcBorders>
            <w:shd w:val="clear" w:color="auto" w:fill="auto"/>
          </w:tcPr>
          <w:p>
            <w:pPr>
              <w:pStyle w:val="62"/>
              <w:shd w:val="clear"/>
              <w:spacing w:line="276" w:lineRule="auto"/>
              <w:ind w:firstLine="0"/>
              <w:rPr>
                <w:rFonts w:hint="default"/>
                <w:sz w:val="20"/>
                <w:szCs w:val="20"/>
                <w:highlight w:val="none"/>
                <w:lang w:val="ru-RU"/>
              </w:rPr>
            </w:pPr>
            <w:r>
              <w:rPr>
                <w:rFonts w:hint="default"/>
                <w:sz w:val="20"/>
                <w:szCs w:val="20"/>
                <w:highlight w:val="none"/>
                <w:lang w:val="ru-RU"/>
              </w:rPr>
              <w:t>-</w:t>
            </w:r>
          </w:p>
        </w:tc>
        <w:tc>
          <w:tcPr>
            <w:tcW w:w="708" w:type="dxa"/>
            <w:tcBorders>
              <w:top w:val="single" w:color="auto" w:sz="4" w:space="0"/>
            </w:tcBorders>
            <w:shd w:val="clear" w:color="auto" w:fill="auto"/>
          </w:tcPr>
          <w:p>
            <w:pPr>
              <w:pStyle w:val="62"/>
              <w:shd w:val="clear"/>
              <w:spacing w:line="276" w:lineRule="auto"/>
              <w:ind w:firstLine="0"/>
              <w:rPr>
                <w:rFonts w:hint="default"/>
                <w:sz w:val="20"/>
                <w:szCs w:val="20"/>
                <w:highlight w:val="none"/>
                <w:lang w:val="ru-RU"/>
              </w:rPr>
            </w:pPr>
            <w:r>
              <w:rPr>
                <w:rFonts w:hint="default"/>
                <w:sz w:val="20"/>
                <w:szCs w:val="20"/>
                <w:highlight w:val="none"/>
                <w:lang w:val="ru-RU"/>
              </w:rPr>
              <w:t>-</w:t>
            </w:r>
          </w:p>
        </w:tc>
        <w:tc>
          <w:tcPr>
            <w:tcW w:w="851" w:type="dxa"/>
            <w:tcBorders>
              <w:top w:val="single" w:color="auto" w:sz="4" w:space="0"/>
            </w:tcBorders>
            <w:shd w:val="clear" w:color="auto" w:fill="auto"/>
          </w:tcPr>
          <w:p>
            <w:pPr>
              <w:pStyle w:val="62"/>
              <w:shd w:val="clear"/>
              <w:spacing w:line="276" w:lineRule="auto"/>
              <w:ind w:firstLine="0"/>
              <w:rPr>
                <w:rFonts w:hint="default"/>
                <w:sz w:val="20"/>
                <w:szCs w:val="20"/>
                <w:highlight w:val="none"/>
                <w:lang w:val="ru-RU"/>
              </w:rPr>
            </w:pPr>
            <w:r>
              <w:rPr>
                <w:rFonts w:hint="default"/>
                <w:sz w:val="20"/>
                <w:szCs w:val="20"/>
                <w:highlight w:val="none"/>
                <w:lang w:val="ru-RU"/>
              </w:rPr>
              <w:t>-</w:t>
            </w:r>
          </w:p>
        </w:tc>
        <w:tc>
          <w:tcPr>
            <w:tcW w:w="992" w:type="dxa"/>
            <w:tcBorders>
              <w:top w:val="single" w:color="auto" w:sz="4" w:space="0"/>
            </w:tcBorders>
            <w:shd w:val="clear" w:color="auto" w:fill="auto"/>
          </w:tcPr>
          <w:p>
            <w:pPr>
              <w:pStyle w:val="62"/>
              <w:shd w:val="clear"/>
              <w:spacing w:line="276" w:lineRule="auto"/>
              <w:ind w:firstLine="0"/>
              <w:rPr>
                <w:rFonts w:hint="default"/>
                <w:sz w:val="20"/>
                <w:szCs w:val="20"/>
                <w:highlight w:val="none"/>
                <w:lang w:val="ru-RU"/>
              </w:rPr>
            </w:pPr>
            <w:r>
              <w:rPr>
                <w:rFonts w:hint="default"/>
                <w:sz w:val="20"/>
                <w:szCs w:val="20"/>
                <w:highlight w:val="none"/>
                <w:lang w:val="ru-RU"/>
              </w:rPr>
              <w:t>-</w:t>
            </w:r>
          </w:p>
        </w:tc>
        <w:tc>
          <w:tcPr>
            <w:tcW w:w="992" w:type="dxa"/>
            <w:tcBorders>
              <w:top w:val="single" w:color="auto" w:sz="4" w:space="0"/>
            </w:tcBorders>
            <w:shd w:val="clear" w:color="auto" w:fill="auto"/>
          </w:tcPr>
          <w:p>
            <w:pPr>
              <w:pStyle w:val="62"/>
              <w:shd w:val="clear"/>
              <w:spacing w:line="276" w:lineRule="auto"/>
              <w:ind w:firstLine="0"/>
              <w:rPr>
                <w:rFonts w:hint="default"/>
                <w:sz w:val="20"/>
                <w:szCs w:val="20"/>
                <w:highlight w:val="none"/>
                <w:lang w:val="ru-RU"/>
              </w:rPr>
            </w:pPr>
            <w:r>
              <w:rPr>
                <w:rFonts w:hint="default"/>
                <w:sz w:val="20"/>
                <w:szCs w:val="20"/>
                <w:highlight w:val="none"/>
                <w:lang w:val="ru-RU"/>
              </w:rPr>
              <w:t>-</w:t>
            </w:r>
          </w:p>
        </w:tc>
        <w:tc>
          <w:tcPr>
            <w:tcW w:w="1418" w:type="dxa"/>
            <w:tcBorders>
              <w:top w:val="single" w:color="auto" w:sz="4" w:space="0"/>
            </w:tcBorders>
          </w:tcPr>
          <w:p>
            <w:pPr>
              <w:pStyle w:val="62"/>
              <w:shd w:val="clear"/>
              <w:spacing w:line="276" w:lineRule="auto"/>
              <w:ind w:firstLine="0"/>
              <w:rPr>
                <w:rFonts w:hint="default"/>
                <w:sz w:val="20"/>
                <w:szCs w:val="20"/>
                <w:highlight w:val="none"/>
                <w:lang w:val="ru-RU"/>
              </w:rPr>
            </w:pPr>
            <w:r>
              <w:rPr>
                <w:rFonts w:hint="default"/>
                <w:sz w:val="20"/>
                <w:szCs w:val="20"/>
                <w:highlight w:val="none"/>
                <w:lang w:val="ru-RU"/>
              </w:rPr>
              <w:t>-</w:t>
            </w:r>
          </w:p>
        </w:tc>
        <w:tc>
          <w:tcPr>
            <w:tcW w:w="1134" w:type="dxa"/>
            <w:tcBorders>
              <w:top w:val="single" w:color="auto" w:sz="4" w:space="0"/>
            </w:tcBorders>
            <w:shd w:val="clear" w:color="auto" w:fill="auto"/>
          </w:tcPr>
          <w:p>
            <w:pPr>
              <w:pStyle w:val="62"/>
              <w:shd w:val="clear"/>
              <w:spacing w:line="276" w:lineRule="auto"/>
              <w:ind w:firstLine="0"/>
              <w:rPr>
                <w:rFonts w:hint="default"/>
                <w:sz w:val="20"/>
                <w:szCs w:val="20"/>
                <w:highlight w:val="none"/>
                <w:lang w:val="ru-RU"/>
              </w:rPr>
            </w:pPr>
            <w:r>
              <w:rPr>
                <w:rFonts w:hint="default"/>
                <w:sz w:val="20"/>
                <w:szCs w:val="20"/>
                <w:highlight w:val="none"/>
                <w:lang w:val="ru-RU"/>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57" w:type="dxa"/>
            <w:bottom w:w="0" w:type="dxa"/>
            <w:right w:w="57" w:type="dxa"/>
          </w:tblCellMar>
        </w:tblPrEx>
        <w:trPr>
          <w:trHeight w:val="45" w:hRule="atLeast"/>
        </w:trPr>
        <w:tc>
          <w:tcPr>
            <w:tcW w:w="505" w:type="dxa"/>
            <w:tcBorders>
              <w:top w:val="single" w:color="auto" w:sz="4" w:space="0"/>
            </w:tcBorders>
            <w:shd w:val="clear" w:color="auto" w:fill="auto"/>
            <w:tcMar>
              <w:top w:w="0" w:type="dxa"/>
              <w:bottom w:w="0" w:type="dxa"/>
            </w:tcMar>
          </w:tcPr>
          <w:p>
            <w:pPr>
              <w:pStyle w:val="62"/>
              <w:shd w:val="clear"/>
              <w:spacing w:line="276" w:lineRule="auto"/>
              <w:ind w:firstLine="0"/>
              <w:rPr>
                <w:sz w:val="20"/>
                <w:szCs w:val="20"/>
                <w:highlight w:val="none"/>
              </w:rPr>
            </w:pPr>
          </w:p>
        </w:tc>
        <w:tc>
          <w:tcPr>
            <w:tcW w:w="2127" w:type="dxa"/>
            <w:tcBorders>
              <w:top w:val="single" w:color="auto" w:sz="4" w:space="0"/>
            </w:tcBorders>
            <w:shd w:val="clear" w:color="auto" w:fill="auto"/>
            <w:vAlign w:val="top"/>
          </w:tcPr>
          <w:p>
            <w:pPr>
              <w:pStyle w:val="62"/>
              <w:shd w:val="clear"/>
              <w:spacing w:line="276" w:lineRule="auto"/>
              <w:ind w:firstLine="0"/>
              <w:rPr>
                <w:sz w:val="20"/>
                <w:szCs w:val="20"/>
                <w:highlight w:val="none"/>
                <w:lang w:val="ru-RU" w:eastAsia="en-US"/>
              </w:rPr>
            </w:pPr>
            <w:r>
              <w:rPr>
                <w:sz w:val="20"/>
                <w:szCs w:val="20"/>
                <w:highlight w:val="none"/>
                <w:lang w:eastAsia="en-US"/>
              </w:rPr>
              <w:t>Зона территорий общего пользования (Р3)</w:t>
            </w:r>
          </w:p>
        </w:tc>
        <w:tc>
          <w:tcPr>
            <w:tcW w:w="6867" w:type="dxa"/>
            <w:gridSpan w:val="7"/>
            <w:tcBorders>
              <w:top w:val="single" w:color="auto" w:sz="4" w:space="0"/>
            </w:tcBorders>
            <w:shd w:val="clear" w:color="auto" w:fill="auto"/>
            <w:vAlign w:val="top"/>
          </w:tcPr>
          <w:p>
            <w:pPr>
              <w:pStyle w:val="62"/>
              <w:shd w:val="clear"/>
              <w:spacing w:line="276" w:lineRule="auto"/>
              <w:ind w:firstLine="0"/>
              <w:rPr>
                <w:sz w:val="20"/>
                <w:szCs w:val="20"/>
                <w:highlight w:val="none"/>
                <w:lang w:val="ru-RU" w:eastAsia="ru-RU"/>
              </w:rPr>
            </w:pPr>
            <w:r>
              <w:rPr>
                <w:sz w:val="20"/>
                <w:szCs w:val="20"/>
                <w:highlight w:val="none"/>
              </w:rPr>
              <w:t>Не подлежит установлению</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57" w:type="dxa"/>
            <w:bottom w:w="0" w:type="dxa"/>
            <w:right w:w="57" w:type="dxa"/>
          </w:tblCellMar>
        </w:tblPrEx>
        <w:trPr>
          <w:trHeight w:val="45" w:hRule="atLeast"/>
        </w:trPr>
        <w:tc>
          <w:tcPr>
            <w:tcW w:w="505" w:type="dxa"/>
            <w:tcBorders>
              <w:top w:val="single" w:color="auto" w:sz="4" w:space="0"/>
            </w:tcBorders>
            <w:shd w:val="clear" w:color="auto" w:fill="auto"/>
            <w:tcMar>
              <w:top w:w="0" w:type="dxa"/>
              <w:bottom w:w="0" w:type="dxa"/>
            </w:tcMar>
          </w:tcPr>
          <w:p>
            <w:pPr>
              <w:pStyle w:val="62"/>
              <w:shd w:val="clear"/>
              <w:spacing w:line="276" w:lineRule="auto"/>
              <w:ind w:firstLine="0"/>
              <w:rPr>
                <w:rFonts w:hint="default"/>
                <w:sz w:val="20"/>
                <w:szCs w:val="20"/>
                <w:highlight w:val="none"/>
                <w:lang w:val="ru-RU"/>
              </w:rPr>
            </w:pPr>
            <w:r>
              <w:rPr>
                <w:rFonts w:hint="default"/>
                <w:sz w:val="20"/>
                <w:szCs w:val="20"/>
                <w:highlight w:val="none"/>
                <w:lang w:val="ru-RU"/>
              </w:rPr>
              <w:t>7</w:t>
            </w:r>
          </w:p>
        </w:tc>
        <w:tc>
          <w:tcPr>
            <w:tcW w:w="2127" w:type="dxa"/>
            <w:tcBorders>
              <w:top w:val="single" w:color="auto" w:sz="4" w:space="0"/>
            </w:tcBorders>
            <w:shd w:val="clear" w:color="auto" w:fill="auto"/>
          </w:tcPr>
          <w:p>
            <w:pPr>
              <w:pStyle w:val="62"/>
              <w:shd w:val="clear"/>
              <w:spacing w:line="276" w:lineRule="auto"/>
              <w:ind w:firstLine="0"/>
              <w:rPr>
                <w:sz w:val="20"/>
                <w:szCs w:val="20"/>
                <w:highlight w:val="none"/>
              </w:rPr>
            </w:pPr>
            <w:r>
              <w:rPr>
                <w:sz w:val="20"/>
                <w:szCs w:val="20"/>
                <w:highlight w:val="none"/>
              </w:rPr>
              <w:t>Лесопарковая зона (Л2)</w:t>
            </w:r>
          </w:p>
        </w:tc>
        <w:tc>
          <w:tcPr>
            <w:tcW w:w="6867" w:type="dxa"/>
            <w:gridSpan w:val="7"/>
            <w:tcBorders>
              <w:top w:val="single" w:color="auto" w:sz="4" w:space="0"/>
            </w:tcBorders>
            <w:shd w:val="clear" w:color="auto" w:fill="auto"/>
          </w:tcPr>
          <w:p>
            <w:pPr>
              <w:pStyle w:val="62"/>
              <w:shd w:val="clear"/>
              <w:spacing w:line="276" w:lineRule="auto"/>
              <w:ind w:firstLine="0"/>
              <w:rPr>
                <w:sz w:val="20"/>
                <w:szCs w:val="20"/>
                <w:highlight w:val="none"/>
              </w:rPr>
            </w:pPr>
            <w:r>
              <w:rPr>
                <w:sz w:val="20"/>
                <w:szCs w:val="20"/>
                <w:highlight w:val="none"/>
              </w:rPr>
              <w:t>Не подлежит установлению</w:t>
            </w:r>
          </w:p>
        </w:tc>
      </w:tr>
    </w:tbl>
    <w:p>
      <w:pPr>
        <w:pStyle w:val="62"/>
        <w:shd w:val="clear"/>
        <w:spacing w:line="276" w:lineRule="auto"/>
        <w:rPr>
          <w:sz w:val="20"/>
          <w:szCs w:val="22"/>
          <w:highlight w:val="none"/>
        </w:rPr>
      </w:pPr>
      <w:r>
        <w:rPr>
          <w:sz w:val="20"/>
          <w:szCs w:val="24"/>
          <w:highlight w:val="none"/>
        </w:rPr>
        <w:t>*</w:t>
      </w:r>
      <w:r>
        <w:rPr>
          <w:sz w:val="22"/>
          <w:highlight w:val="none"/>
        </w:rPr>
        <w:t xml:space="preserve"> </w:t>
      </w:r>
      <w:r>
        <w:rPr>
          <w:sz w:val="20"/>
          <w:szCs w:val="22"/>
          <w:highlight w:val="none"/>
        </w:rPr>
        <w:t>Примечание. В таблице № 3 используются следующие сокращения:</w:t>
      </w:r>
    </w:p>
    <w:p>
      <w:pPr>
        <w:pStyle w:val="62"/>
        <w:shd w:val="clear"/>
        <w:spacing w:line="276" w:lineRule="auto"/>
        <w:rPr>
          <w:sz w:val="20"/>
          <w:szCs w:val="22"/>
          <w:highlight w:val="none"/>
        </w:rPr>
      </w:pPr>
      <w:r>
        <w:rPr>
          <w:sz w:val="20"/>
          <w:szCs w:val="22"/>
          <w:highlight w:val="none"/>
        </w:rPr>
        <w:t>1) S min - предельные минимальные размеры земельных участков;</w:t>
      </w:r>
    </w:p>
    <w:p>
      <w:pPr>
        <w:pStyle w:val="62"/>
        <w:shd w:val="clear"/>
        <w:spacing w:line="276" w:lineRule="auto"/>
        <w:rPr>
          <w:sz w:val="20"/>
          <w:szCs w:val="22"/>
          <w:highlight w:val="none"/>
        </w:rPr>
      </w:pPr>
      <w:r>
        <w:rPr>
          <w:sz w:val="20"/>
          <w:szCs w:val="22"/>
          <w:highlight w:val="none"/>
        </w:rPr>
        <w:t>2) S max - предельные максимальные размеры земельных участков;</w:t>
      </w:r>
    </w:p>
    <w:p>
      <w:pPr>
        <w:pStyle w:val="62"/>
        <w:shd w:val="clear"/>
        <w:spacing w:line="276" w:lineRule="auto"/>
        <w:rPr>
          <w:sz w:val="20"/>
          <w:szCs w:val="22"/>
          <w:highlight w:val="none"/>
        </w:rPr>
      </w:pPr>
      <w:r>
        <w:rPr>
          <w:sz w:val="20"/>
          <w:szCs w:val="22"/>
          <w:highlight w:val="none"/>
        </w:rPr>
        <w:t>3) Отступ min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pPr>
        <w:pStyle w:val="62"/>
        <w:shd w:val="clear"/>
        <w:spacing w:line="276" w:lineRule="auto"/>
        <w:rPr>
          <w:sz w:val="20"/>
          <w:szCs w:val="22"/>
          <w:highlight w:val="none"/>
        </w:rPr>
      </w:pPr>
      <w:r>
        <w:rPr>
          <w:sz w:val="20"/>
          <w:szCs w:val="22"/>
          <w:highlight w:val="none"/>
        </w:rPr>
        <w:t>4) Этаж min - предельное минимальное количество надземных этажей зданий, строений, сооружений;</w:t>
      </w:r>
    </w:p>
    <w:p>
      <w:pPr>
        <w:pStyle w:val="62"/>
        <w:shd w:val="clear"/>
        <w:spacing w:line="276" w:lineRule="auto"/>
        <w:rPr>
          <w:sz w:val="20"/>
          <w:szCs w:val="22"/>
          <w:highlight w:val="none"/>
        </w:rPr>
      </w:pPr>
      <w:r>
        <w:rPr>
          <w:sz w:val="20"/>
          <w:szCs w:val="22"/>
          <w:highlight w:val="none"/>
        </w:rPr>
        <w:t>5) Этаж max - предельное максимальное количество надземных этажей зданий, строений, сооружений;</w:t>
      </w:r>
    </w:p>
    <w:p>
      <w:pPr>
        <w:pStyle w:val="62"/>
        <w:shd w:val="clear"/>
        <w:spacing w:line="276" w:lineRule="auto"/>
        <w:rPr>
          <w:sz w:val="20"/>
          <w:szCs w:val="22"/>
          <w:highlight w:val="none"/>
        </w:rPr>
      </w:pPr>
      <w:r>
        <w:rPr>
          <w:sz w:val="20"/>
          <w:szCs w:val="22"/>
          <w:highlight w:val="none"/>
        </w:rPr>
        <w:t>6) Процент застройки min – минимальный процент застройки в границах земельного участка, без учета эксплуатируемой кровли подземных, подвальных, цокольных частей объектов;</w:t>
      </w:r>
    </w:p>
    <w:p>
      <w:pPr>
        <w:pStyle w:val="62"/>
        <w:shd w:val="clear"/>
        <w:spacing w:line="276" w:lineRule="auto"/>
        <w:rPr>
          <w:sz w:val="22"/>
          <w:szCs w:val="22"/>
          <w:highlight w:val="none"/>
        </w:rPr>
      </w:pPr>
      <w:r>
        <w:rPr>
          <w:sz w:val="20"/>
          <w:szCs w:val="22"/>
          <w:highlight w:val="none"/>
        </w:rPr>
        <w:t xml:space="preserve">7) Процент застройки max – максимальный процент застройки в границах земельного участка, без учета эксплуатируемой </w:t>
      </w:r>
      <w:r>
        <w:rPr>
          <w:sz w:val="22"/>
          <w:szCs w:val="22"/>
          <w:highlight w:val="none"/>
        </w:rPr>
        <w:t>кровли подземных, подвальных, цокольных частей объектов.</w:t>
      </w:r>
    </w:p>
    <w:p>
      <w:pPr>
        <w:shd w:val="clear"/>
        <w:spacing w:line="276" w:lineRule="auto"/>
        <w:rPr>
          <w:sz w:val="24"/>
          <w:szCs w:val="24"/>
          <w:highlight w:val="none"/>
        </w:rPr>
      </w:pPr>
    </w:p>
    <w:p>
      <w:pPr>
        <w:shd w:val="clear"/>
        <w:spacing w:line="276" w:lineRule="auto"/>
        <w:rPr>
          <w:sz w:val="24"/>
          <w:szCs w:val="24"/>
          <w:highlight w:val="none"/>
        </w:rPr>
      </w:pPr>
      <w:r>
        <w:rPr>
          <w:sz w:val="24"/>
          <w:szCs w:val="24"/>
          <w:highlight w:val="none"/>
          <w:lang w:val="ru-RU"/>
        </w:rPr>
        <w:t>З</w:t>
      </w:r>
      <w:r>
        <w:rPr>
          <w:sz w:val="24"/>
          <w:szCs w:val="24"/>
          <w:highlight w:val="none"/>
        </w:rPr>
        <w:t xml:space="preserve">оны планируемого размещения объектов капитального строительства установлены на основании принятого проектом функционального зонирования территории с учетом планируемого и существующего землепользования. Границы зоны планируемого размещения объектов капитального строительства установлены по проектируемым красным линиям, планируемым и существующим границам земельных участков индивидуальной жилой застройки и малоэтажной многоквартирной застройки с учетом максимально эффективного использования земель в границах рассматриваемых элементов планировочной структуры. Вышеуказанные проектные решения позволят исключить возможность появления территорий, использование которых, согласно утвержденным градостроительным регламентам, не представляется возможным, а также экономически нецелесообразно. </w:t>
      </w:r>
    </w:p>
    <w:p>
      <w:pPr>
        <w:shd w:val="clear"/>
        <w:spacing w:line="276" w:lineRule="auto"/>
        <w:rPr>
          <w:sz w:val="24"/>
          <w:szCs w:val="24"/>
          <w:highlight w:val="none"/>
        </w:rPr>
      </w:pPr>
      <w:r>
        <w:rPr>
          <w:sz w:val="24"/>
          <w:szCs w:val="24"/>
          <w:highlight w:val="none"/>
        </w:rPr>
        <w:t>Настоящими проектными решениями предлагается внесение изменений в утвержденную документацию территориального планирования в части корректировки функциональных и территориальных зон, а также транспортного каркаса территории.</w:t>
      </w:r>
    </w:p>
    <w:p>
      <w:pPr>
        <w:shd w:val="clear"/>
        <w:spacing w:line="276" w:lineRule="auto"/>
        <w:rPr>
          <w:sz w:val="24"/>
          <w:szCs w:val="24"/>
          <w:highlight w:val="none"/>
        </w:rPr>
      </w:pPr>
    </w:p>
    <w:p>
      <w:pPr>
        <w:pStyle w:val="2"/>
        <w:shd w:val="clear"/>
        <w:spacing w:line="276" w:lineRule="auto"/>
        <w:ind w:firstLine="0"/>
        <w:rPr>
          <w:rFonts w:ascii="Times New Roman" w:hAnsi="Times New Roman" w:cs="Times New Roman"/>
          <w:b/>
          <w:bCs/>
          <w:color w:val="auto"/>
          <w:sz w:val="24"/>
          <w:szCs w:val="24"/>
          <w:highlight w:val="none"/>
        </w:rPr>
      </w:pPr>
      <w:bookmarkStart w:id="30" w:name="_Toc141885077"/>
      <w:r>
        <w:rPr>
          <w:rFonts w:ascii="Times New Roman" w:hAnsi="Times New Roman" w:cs="Times New Roman"/>
          <w:b/>
          <w:bCs/>
          <w:color w:val="auto"/>
          <w:sz w:val="24"/>
          <w:szCs w:val="24"/>
          <w:highlight w:val="none"/>
        </w:rPr>
        <w:t>4.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комплексного развития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bookmarkEnd w:id="30"/>
    </w:p>
    <w:p>
      <w:pPr>
        <w:shd w:val="clear"/>
        <w:spacing w:line="276" w:lineRule="auto"/>
        <w:rPr>
          <w:highlight w:val="none"/>
        </w:rPr>
      </w:pPr>
    </w:p>
    <w:p>
      <w:pPr>
        <w:shd w:val="clear"/>
        <w:spacing w:before="240" w:line="276" w:lineRule="auto"/>
        <w:rPr>
          <w:sz w:val="24"/>
          <w:szCs w:val="24"/>
          <w:highlight w:val="none"/>
        </w:rPr>
      </w:pPr>
      <w:r>
        <w:rPr>
          <w:color w:val="000000" w:themeColor="text1"/>
          <w:sz w:val="24"/>
          <w:szCs w:val="24"/>
          <w:highlight w:val="none"/>
          <w14:textFill>
            <w14:solidFill>
              <w14:schemeClr w14:val="tx1"/>
            </w14:solidFill>
          </w14:textFill>
        </w:rPr>
        <w:t xml:space="preserve">Основным принципом организации проектируемой территории является повышение </w:t>
      </w:r>
      <w:r>
        <w:rPr>
          <w:sz w:val="24"/>
          <w:szCs w:val="24"/>
          <w:highlight w:val="none"/>
        </w:rPr>
        <w:t xml:space="preserve">эффективности ее использования в связи с размещением на ней индивидуальной жилой застройки и территорий благоустройства и отдыха (рекреации) для создания комфортной среды жизнедеятельности. </w:t>
      </w:r>
    </w:p>
    <w:p>
      <w:pPr>
        <w:shd w:val="clear"/>
        <w:spacing w:line="276" w:lineRule="auto"/>
        <w:rPr>
          <w:sz w:val="24"/>
          <w:szCs w:val="24"/>
          <w:highlight w:val="none"/>
        </w:rPr>
      </w:pPr>
      <w:r>
        <w:rPr>
          <w:sz w:val="24"/>
          <w:szCs w:val="24"/>
          <w:highlight w:val="none"/>
        </w:rPr>
        <w:t>Основными направлениями территориального развития проектируемой территории являются:</w:t>
      </w:r>
    </w:p>
    <w:p>
      <w:pPr>
        <w:pStyle w:val="22"/>
        <w:numPr>
          <w:ilvl w:val="0"/>
          <w:numId w:val="14"/>
        </w:numPr>
        <w:shd w:val="clear"/>
        <w:spacing w:line="276" w:lineRule="auto"/>
        <w:rPr>
          <w:sz w:val="24"/>
          <w:szCs w:val="24"/>
          <w:highlight w:val="none"/>
        </w:rPr>
      </w:pPr>
      <w:r>
        <w:rPr>
          <w:sz w:val="24"/>
          <w:szCs w:val="24"/>
          <w:highlight w:val="none"/>
        </w:rPr>
        <w:t>рациональная организация территории;</w:t>
      </w:r>
    </w:p>
    <w:p>
      <w:pPr>
        <w:pStyle w:val="22"/>
        <w:numPr>
          <w:ilvl w:val="0"/>
          <w:numId w:val="14"/>
        </w:numPr>
        <w:shd w:val="clear"/>
        <w:spacing w:line="276" w:lineRule="auto"/>
        <w:rPr>
          <w:sz w:val="24"/>
          <w:szCs w:val="24"/>
          <w:highlight w:val="none"/>
        </w:rPr>
      </w:pPr>
      <w:r>
        <w:rPr>
          <w:sz w:val="24"/>
          <w:szCs w:val="24"/>
          <w:highlight w:val="none"/>
        </w:rPr>
        <w:t>формирование земельных участков;</w:t>
      </w:r>
    </w:p>
    <w:p>
      <w:pPr>
        <w:pStyle w:val="22"/>
        <w:numPr>
          <w:ilvl w:val="0"/>
          <w:numId w:val="14"/>
        </w:numPr>
        <w:shd w:val="clear"/>
        <w:spacing w:line="276" w:lineRule="auto"/>
        <w:rPr>
          <w:sz w:val="24"/>
          <w:szCs w:val="24"/>
          <w:highlight w:val="none"/>
        </w:rPr>
      </w:pPr>
      <w:r>
        <w:rPr>
          <w:sz w:val="24"/>
          <w:szCs w:val="24"/>
          <w:highlight w:val="none"/>
        </w:rPr>
        <w:t xml:space="preserve">благоустройство и озеленение территорий общего пользования; </w:t>
      </w:r>
    </w:p>
    <w:p>
      <w:pPr>
        <w:pStyle w:val="22"/>
        <w:numPr>
          <w:ilvl w:val="0"/>
          <w:numId w:val="14"/>
        </w:numPr>
        <w:shd w:val="clear"/>
        <w:spacing w:line="276" w:lineRule="auto"/>
        <w:rPr>
          <w:sz w:val="24"/>
          <w:szCs w:val="24"/>
          <w:highlight w:val="none"/>
        </w:rPr>
      </w:pPr>
      <w:r>
        <w:rPr>
          <w:sz w:val="24"/>
          <w:szCs w:val="24"/>
          <w:highlight w:val="none"/>
        </w:rPr>
        <w:t xml:space="preserve">формирование улично-дорожной сети; </w:t>
      </w:r>
    </w:p>
    <w:p>
      <w:pPr>
        <w:pStyle w:val="22"/>
        <w:numPr>
          <w:ilvl w:val="0"/>
          <w:numId w:val="14"/>
        </w:numPr>
        <w:shd w:val="clear"/>
        <w:spacing w:line="276" w:lineRule="auto"/>
        <w:rPr>
          <w:sz w:val="24"/>
          <w:szCs w:val="24"/>
          <w:highlight w:val="none"/>
        </w:rPr>
      </w:pPr>
      <w:r>
        <w:rPr>
          <w:sz w:val="24"/>
          <w:szCs w:val="24"/>
          <w:highlight w:val="none"/>
        </w:rPr>
        <w:t xml:space="preserve">организация отвода поверхностных и талых вод; </w:t>
      </w:r>
    </w:p>
    <w:p>
      <w:pPr>
        <w:pStyle w:val="22"/>
        <w:numPr>
          <w:ilvl w:val="0"/>
          <w:numId w:val="14"/>
        </w:numPr>
        <w:shd w:val="clear"/>
        <w:spacing w:line="276" w:lineRule="auto"/>
        <w:rPr>
          <w:sz w:val="24"/>
          <w:szCs w:val="24"/>
          <w:highlight w:val="none"/>
        </w:rPr>
      </w:pPr>
      <w:r>
        <w:rPr>
          <w:sz w:val="24"/>
          <w:szCs w:val="24"/>
          <w:highlight w:val="none"/>
        </w:rPr>
        <w:t>устройство пешеходных тротуаров;</w:t>
      </w:r>
    </w:p>
    <w:p>
      <w:pPr>
        <w:pStyle w:val="22"/>
        <w:numPr>
          <w:ilvl w:val="0"/>
          <w:numId w:val="14"/>
        </w:numPr>
        <w:shd w:val="clear"/>
        <w:spacing w:line="276" w:lineRule="auto"/>
        <w:rPr>
          <w:sz w:val="24"/>
          <w:szCs w:val="24"/>
          <w:highlight w:val="none"/>
        </w:rPr>
      </w:pPr>
      <w:r>
        <w:rPr>
          <w:sz w:val="24"/>
          <w:szCs w:val="24"/>
          <w:highlight w:val="none"/>
        </w:rPr>
        <w:t>размещение велодорожек;</w:t>
      </w:r>
    </w:p>
    <w:p>
      <w:pPr>
        <w:pStyle w:val="22"/>
        <w:numPr>
          <w:ilvl w:val="0"/>
          <w:numId w:val="14"/>
        </w:numPr>
        <w:shd w:val="clear"/>
        <w:spacing w:line="276" w:lineRule="auto"/>
        <w:rPr>
          <w:sz w:val="24"/>
          <w:szCs w:val="24"/>
          <w:highlight w:val="none"/>
        </w:rPr>
      </w:pPr>
      <w:r>
        <w:rPr>
          <w:sz w:val="24"/>
          <w:szCs w:val="24"/>
          <w:highlight w:val="none"/>
        </w:rPr>
        <w:t>размещение объектов транспортной инфраструктуры, объектов инженерной инфраструктуры и жизнеобеспечения для создания комфортных условий проживания.</w:t>
      </w:r>
    </w:p>
    <w:p>
      <w:pPr>
        <w:shd w:val="clear"/>
        <w:spacing w:line="276" w:lineRule="auto"/>
        <w:rPr>
          <w:sz w:val="24"/>
          <w:szCs w:val="24"/>
          <w:highlight w:val="none"/>
        </w:rPr>
      </w:pPr>
      <w:r>
        <w:rPr>
          <w:sz w:val="24"/>
          <w:szCs w:val="24"/>
          <w:highlight w:val="none"/>
        </w:rPr>
        <w:t>Проектом установлены красные линии, которые обозначают планируемые границы территорий общего пользования, границы земельных участков, на которых расположены линейные объекты.</w:t>
      </w:r>
    </w:p>
    <w:p>
      <w:pPr>
        <w:shd w:val="clear"/>
        <w:spacing w:before="240" w:after="240" w:line="276" w:lineRule="auto"/>
        <w:rPr>
          <w:color w:val="000000" w:themeColor="text1"/>
          <w:sz w:val="24"/>
          <w:szCs w:val="24"/>
          <w:highlight w:val="none"/>
          <w:u w:val="single"/>
          <w14:textFill>
            <w14:solidFill>
              <w14:schemeClr w14:val="tx1"/>
            </w14:solidFill>
          </w14:textFill>
        </w:rPr>
      </w:pPr>
      <w:r>
        <w:rPr>
          <w:color w:val="000000" w:themeColor="text1"/>
          <w:sz w:val="24"/>
          <w:szCs w:val="24"/>
          <w:highlight w:val="none"/>
          <w:u w:val="single"/>
          <w14:textFill>
            <w14:solidFill>
              <w14:schemeClr w14:val="tx1"/>
            </w14:solidFill>
          </w14:textFill>
        </w:rPr>
        <w:t>Жилищный фонд</w:t>
      </w:r>
    </w:p>
    <w:p>
      <w:pPr>
        <w:shd w:val="clear"/>
        <w:spacing w:line="276" w:lineRule="auto"/>
        <w:ind w:firstLine="567"/>
        <w:rPr>
          <w:sz w:val="24"/>
          <w:szCs w:val="24"/>
          <w:highlight w:val="none"/>
        </w:rPr>
      </w:pPr>
      <w:r>
        <w:rPr>
          <w:color w:val="000000" w:themeColor="text1"/>
          <w:sz w:val="24"/>
          <w:szCs w:val="24"/>
          <w:highlight w:val="none"/>
          <w14:textFill>
            <w14:solidFill>
              <w14:schemeClr w14:val="tx1"/>
            </w14:solidFill>
          </w14:textFill>
        </w:rPr>
        <w:t xml:space="preserve">Проектируемая жилая застройка представлена индивидуальными жилыми домами в количестве </w:t>
      </w:r>
      <w:r>
        <w:rPr>
          <w:rFonts w:hint="default"/>
          <w:color w:val="000000" w:themeColor="text1"/>
          <w:sz w:val="24"/>
          <w:szCs w:val="24"/>
          <w:highlight w:val="none"/>
          <w:lang w:val="ru-RU"/>
          <w14:textFill>
            <w14:solidFill>
              <w14:schemeClr w14:val="tx1"/>
            </w14:solidFill>
          </w14:textFill>
        </w:rPr>
        <w:t>150</w:t>
      </w:r>
      <w:r>
        <w:rPr>
          <w:color w:val="000000" w:themeColor="text1"/>
          <w:sz w:val="24"/>
          <w:szCs w:val="24"/>
          <w:highlight w:val="none"/>
          <w14:textFill>
            <w14:solidFill>
              <w14:schemeClr w14:val="tx1"/>
            </w14:solidFill>
          </w14:textFill>
        </w:rPr>
        <w:t xml:space="preserve"> единиц. </w:t>
      </w:r>
      <w:r>
        <w:rPr>
          <w:sz w:val="24"/>
          <w:szCs w:val="24"/>
          <w:highlight w:val="none"/>
        </w:rPr>
        <w:t>Жилая площадь проектируем</w:t>
      </w:r>
      <w:r>
        <w:rPr>
          <w:sz w:val="24"/>
          <w:szCs w:val="24"/>
          <w:highlight w:val="none"/>
          <w:lang w:val="ru-RU"/>
        </w:rPr>
        <w:t>ого</w:t>
      </w:r>
      <w:r>
        <w:rPr>
          <w:sz w:val="24"/>
          <w:szCs w:val="24"/>
          <w:highlight w:val="none"/>
        </w:rPr>
        <w:t xml:space="preserve"> дом</w:t>
      </w:r>
      <w:r>
        <w:rPr>
          <w:sz w:val="24"/>
          <w:szCs w:val="24"/>
          <w:highlight w:val="none"/>
          <w:lang w:val="ru-RU"/>
        </w:rPr>
        <w:t>а</w:t>
      </w:r>
      <w:r>
        <w:rPr>
          <w:sz w:val="24"/>
          <w:szCs w:val="24"/>
          <w:highlight w:val="none"/>
        </w:rPr>
        <w:t xml:space="preserve"> – 120 кв.м. Общая жилая площадь проектной застройки составит 1</w:t>
      </w:r>
      <w:r>
        <w:rPr>
          <w:rFonts w:hint="default"/>
          <w:sz w:val="24"/>
          <w:szCs w:val="24"/>
          <w:highlight w:val="none"/>
          <w:lang w:val="ru-RU"/>
        </w:rPr>
        <w:t>8000</w:t>
      </w:r>
      <w:r>
        <w:rPr>
          <w:sz w:val="24"/>
          <w:szCs w:val="24"/>
          <w:highlight w:val="none"/>
        </w:rPr>
        <w:t xml:space="preserve"> кв.м.</w:t>
      </w:r>
    </w:p>
    <w:p>
      <w:pPr>
        <w:shd w:val="clear"/>
        <w:spacing w:line="276" w:lineRule="auto"/>
        <w:ind w:firstLine="567"/>
        <w:rPr>
          <w:sz w:val="24"/>
          <w:szCs w:val="24"/>
          <w:highlight w:val="none"/>
        </w:rPr>
      </w:pPr>
      <w:r>
        <w:rPr>
          <w:sz w:val="24"/>
          <w:szCs w:val="24"/>
          <w:highlight w:val="none"/>
        </w:rPr>
        <w:t xml:space="preserve">Общее число домов в границе проекта планировки с учетом существующих и проектируемых составит </w:t>
      </w:r>
      <w:r>
        <w:rPr>
          <w:rFonts w:hint="default"/>
          <w:sz w:val="24"/>
          <w:szCs w:val="24"/>
          <w:highlight w:val="none"/>
          <w:lang w:val="ru-RU"/>
        </w:rPr>
        <w:t xml:space="preserve">212 </w:t>
      </w:r>
      <w:r>
        <w:rPr>
          <w:sz w:val="24"/>
          <w:szCs w:val="24"/>
          <w:highlight w:val="none"/>
        </w:rPr>
        <w:t>единиц, с общей жилой площадью 2</w:t>
      </w:r>
      <w:r>
        <w:rPr>
          <w:rFonts w:hint="default"/>
          <w:sz w:val="24"/>
          <w:szCs w:val="24"/>
          <w:highlight w:val="none"/>
          <w:lang w:val="ru-RU"/>
        </w:rPr>
        <w:t>5440</w:t>
      </w:r>
      <w:r>
        <w:rPr>
          <w:sz w:val="24"/>
          <w:szCs w:val="24"/>
          <w:highlight w:val="none"/>
        </w:rPr>
        <w:t xml:space="preserve"> кв.м.</w:t>
      </w:r>
    </w:p>
    <w:p>
      <w:pPr>
        <w:shd w:val="clear"/>
        <w:spacing w:line="276" w:lineRule="auto"/>
        <w:ind w:firstLine="567"/>
        <w:rPr>
          <w:sz w:val="24"/>
          <w:szCs w:val="24"/>
          <w:highlight w:val="none"/>
        </w:rPr>
      </w:pPr>
      <w:r>
        <w:rPr>
          <w:sz w:val="24"/>
          <w:szCs w:val="24"/>
          <w:highlight w:val="none"/>
        </w:rPr>
        <w:t>Ниже приведен баланс существующего и перспективного</w:t>
      </w:r>
      <w:r>
        <w:rPr>
          <w:highlight w:val="none"/>
        </w:rPr>
        <w:t xml:space="preserve"> </w:t>
      </w:r>
      <w:r>
        <w:rPr>
          <w:sz w:val="24"/>
          <w:szCs w:val="24"/>
          <w:highlight w:val="none"/>
        </w:rPr>
        <w:t>жилищного фонда на рассматриваемой территории.</w:t>
      </w:r>
    </w:p>
    <w:p>
      <w:pPr>
        <w:shd w:val="clear"/>
        <w:spacing w:line="276" w:lineRule="auto"/>
        <w:ind w:firstLine="567"/>
        <w:jc w:val="right"/>
        <w:rPr>
          <w:sz w:val="24"/>
          <w:szCs w:val="24"/>
          <w:highlight w:val="none"/>
        </w:rPr>
      </w:pPr>
      <w:r>
        <w:rPr>
          <w:sz w:val="24"/>
          <w:szCs w:val="24"/>
          <w:highlight w:val="none"/>
        </w:rPr>
        <w:t>Таблица 4</w:t>
      </w:r>
    </w:p>
    <w:tbl>
      <w:tblPr>
        <w:tblStyle w:val="19"/>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8"/>
        <w:gridCol w:w="1656"/>
        <w:gridCol w:w="1472"/>
        <w:gridCol w:w="1093"/>
        <w:gridCol w:w="1719"/>
        <w:gridCol w:w="1285"/>
        <w:gridCol w:w="1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pct"/>
            <w:vMerge w:val="restart"/>
          </w:tcPr>
          <w:p>
            <w:pPr>
              <w:shd w:val="clear"/>
              <w:spacing w:line="276" w:lineRule="auto"/>
              <w:ind w:firstLine="0"/>
              <w:rPr>
                <w:b/>
                <w:sz w:val="20"/>
                <w:szCs w:val="20"/>
                <w:highlight w:val="none"/>
              </w:rPr>
            </w:pPr>
            <w:r>
              <w:rPr>
                <w:b/>
                <w:color w:val="000000" w:themeColor="text1"/>
                <w:sz w:val="20"/>
                <w:szCs w:val="20"/>
                <w:highlight w:val="none"/>
                <w14:textFill>
                  <w14:solidFill>
                    <w14:schemeClr w14:val="tx1"/>
                  </w14:solidFill>
                </w14:textFill>
              </w:rPr>
              <w:t>Тип жилой застройки</w:t>
            </w:r>
          </w:p>
        </w:tc>
        <w:tc>
          <w:tcPr>
            <w:tcW w:w="2205" w:type="pct"/>
            <w:gridSpan w:val="3"/>
          </w:tcPr>
          <w:p>
            <w:pPr>
              <w:shd w:val="clear"/>
              <w:spacing w:line="276" w:lineRule="auto"/>
              <w:ind w:firstLine="0"/>
              <w:rPr>
                <w:b/>
                <w:color w:val="000000" w:themeColor="text1"/>
                <w:sz w:val="20"/>
                <w:szCs w:val="20"/>
                <w:highlight w:val="none"/>
                <w14:textFill>
                  <w14:solidFill>
                    <w14:schemeClr w14:val="tx1"/>
                  </w14:solidFill>
                </w14:textFill>
              </w:rPr>
            </w:pPr>
            <w:r>
              <w:rPr>
                <w:b/>
                <w:color w:val="000000" w:themeColor="text1"/>
                <w:sz w:val="20"/>
                <w:szCs w:val="20"/>
                <w:highlight w:val="none"/>
                <w14:textFill>
                  <w14:solidFill>
                    <w14:schemeClr w14:val="tx1"/>
                  </w14:solidFill>
                </w14:textFill>
              </w:rPr>
              <w:t>Количество домов, единиц</w:t>
            </w:r>
          </w:p>
        </w:tc>
        <w:tc>
          <w:tcPr>
            <w:tcW w:w="2110" w:type="pct"/>
            <w:gridSpan w:val="3"/>
          </w:tcPr>
          <w:p>
            <w:pPr>
              <w:shd w:val="clear"/>
              <w:spacing w:line="276" w:lineRule="auto"/>
              <w:ind w:firstLine="0"/>
              <w:rPr>
                <w:b/>
                <w:color w:val="000000" w:themeColor="text1"/>
                <w:sz w:val="20"/>
                <w:szCs w:val="20"/>
                <w:highlight w:val="none"/>
                <w14:textFill>
                  <w14:solidFill>
                    <w14:schemeClr w14:val="tx1"/>
                  </w14:solidFill>
                </w14:textFill>
              </w:rPr>
            </w:pPr>
            <w:r>
              <w:rPr>
                <w:b/>
                <w:color w:val="000000" w:themeColor="text1"/>
                <w:sz w:val="20"/>
                <w:szCs w:val="20"/>
                <w:highlight w:val="none"/>
                <w14:textFill>
                  <w14:solidFill>
                    <w14:schemeClr w14:val="tx1"/>
                  </w14:solidFill>
                </w14:textFill>
              </w:rPr>
              <w:t>Площадь жилищного фонда, кв.м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pct"/>
            <w:vMerge w:val="continue"/>
          </w:tcPr>
          <w:p>
            <w:pPr>
              <w:shd w:val="clear"/>
              <w:spacing w:line="276" w:lineRule="auto"/>
              <w:ind w:firstLine="0"/>
              <w:rPr>
                <w:b/>
                <w:sz w:val="20"/>
                <w:szCs w:val="20"/>
                <w:highlight w:val="none"/>
              </w:rPr>
            </w:pPr>
          </w:p>
        </w:tc>
        <w:tc>
          <w:tcPr>
            <w:tcW w:w="865" w:type="pct"/>
          </w:tcPr>
          <w:p>
            <w:pPr>
              <w:shd w:val="clear"/>
              <w:spacing w:line="276" w:lineRule="auto"/>
              <w:ind w:firstLine="0"/>
              <w:rPr>
                <w:b/>
                <w:sz w:val="20"/>
                <w:szCs w:val="20"/>
                <w:highlight w:val="none"/>
              </w:rPr>
            </w:pPr>
            <w:r>
              <w:rPr>
                <w:b/>
                <w:sz w:val="20"/>
                <w:szCs w:val="20"/>
                <w:highlight w:val="none"/>
              </w:rPr>
              <w:t>существующее</w:t>
            </w:r>
          </w:p>
        </w:tc>
        <w:tc>
          <w:tcPr>
            <w:tcW w:w="769" w:type="pct"/>
          </w:tcPr>
          <w:p>
            <w:pPr>
              <w:shd w:val="clear"/>
              <w:spacing w:line="276" w:lineRule="auto"/>
              <w:ind w:firstLine="0"/>
              <w:rPr>
                <w:b/>
                <w:sz w:val="20"/>
                <w:szCs w:val="20"/>
                <w:highlight w:val="none"/>
              </w:rPr>
            </w:pPr>
            <w:r>
              <w:rPr>
                <w:b/>
                <w:sz w:val="20"/>
                <w:szCs w:val="20"/>
                <w:highlight w:val="none"/>
              </w:rPr>
              <w:t>проектное</w:t>
            </w:r>
          </w:p>
        </w:tc>
        <w:tc>
          <w:tcPr>
            <w:tcW w:w="570" w:type="pct"/>
          </w:tcPr>
          <w:p>
            <w:pPr>
              <w:shd w:val="clear"/>
              <w:spacing w:line="276" w:lineRule="auto"/>
              <w:ind w:firstLine="0"/>
              <w:rPr>
                <w:b/>
                <w:sz w:val="20"/>
                <w:szCs w:val="20"/>
                <w:highlight w:val="none"/>
              </w:rPr>
            </w:pPr>
            <w:r>
              <w:rPr>
                <w:b/>
                <w:sz w:val="20"/>
                <w:szCs w:val="20"/>
                <w:highlight w:val="none"/>
              </w:rPr>
              <w:t>всего</w:t>
            </w:r>
          </w:p>
        </w:tc>
        <w:tc>
          <w:tcPr>
            <w:tcW w:w="898" w:type="pct"/>
          </w:tcPr>
          <w:p>
            <w:pPr>
              <w:shd w:val="clear"/>
              <w:spacing w:line="276" w:lineRule="auto"/>
              <w:ind w:firstLine="58"/>
              <w:rPr>
                <w:b/>
                <w:sz w:val="20"/>
                <w:szCs w:val="20"/>
                <w:highlight w:val="none"/>
              </w:rPr>
            </w:pPr>
            <w:r>
              <w:rPr>
                <w:b/>
                <w:sz w:val="20"/>
                <w:szCs w:val="20"/>
                <w:highlight w:val="none"/>
              </w:rPr>
              <w:t>существующее</w:t>
            </w:r>
          </w:p>
        </w:tc>
        <w:tc>
          <w:tcPr>
            <w:tcW w:w="671" w:type="pct"/>
          </w:tcPr>
          <w:p>
            <w:pPr>
              <w:shd w:val="clear"/>
              <w:spacing w:line="276" w:lineRule="auto"/>
              <w:ind w:firstLine="58"/>
              <w:rPr>
                <w:b/>
                <w:sz w:val="20"/>
                <w:szCs w:val="20"/>
                <w:highlight w:val="none"/>
              </w:rPr>
            </w:pPr>
            <w:r>
              <w:rPr>
                <w:b/>
                <w:sz w:val="20"/>
                <w:szCs w:val="20"/>
                <w:highlight w:val="none"/>
              </w:rPr>
              <w:t>проектное</w:t>
            </w:r>
          </w:p>
        </w:tc>
        <w:tc>
          <w:tcPr>
            <w:tcW w:w="541" w:type="pct"/>
          </w:tcPr>
          <w:p>
            <w:pPr>
              <w:shd w:val="clear"/>
              <w:spacing w:line="276" w:lineRule="auto"/>
              <w:ind w:firstLine="58"/>
              <w:rPr>
                <w:b/>
                <w:sz w:val="20"/>
                <w:szCs w:val="20"/>
                <w:highlight w:val="none"/>
              </w:rPr>
            </w:pPr>
            <w:r>
              <w:rPr>
                <w:b/>
                <w:sz w:val="20"/>
                <w:szCs w:val="20"/>
                <w:highlight w:val="none"/>
              </w:rPr>
              <w:t>всего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pct"/>
          </w:tcPr>
          <w:p>
            <w:pPr>
              <w:shd w:val="clear"/>
              <w:spacing w:line="276" w:lineRule="auto"/>
              <w:ind w:firstLine="0"/>
              <w:rPr>
                <w:sz w:val="22"/>
                <w:szCs w:val="24"/>
                <w:highlight w:val="none"/>
              </w:rPr>
            </w:pPr>
            <w:r>
              <w:rPr>
                <w:sz w:val="22"/>
                <w:szCs w:val="24"/>
                <w:highlight w:val="none"/>
              </w:rPr>
              <w:t>ИЖС</w:t>
            </w:r>
          </w:p>
        </w:tc>
        <w:tc>
          <w:tcPr>
            <w:tcW w:w="865" w:type="pct"/>
            <w:vAlign w:val="top"/>
          </w:tcPr>
          <w:p>
            <w:pPr>
              <w:shd w:val="clear"/>
              <w:spacing w:line="276" w:lineRule="auto"/>
              <w:ind w:firstLine="0"/>
              <w:rPr>
                <w:sz w:val="22"/>
                <w:szCs w:val="24"/>
                <w:highlight w:val="none"/>
              </w:rPr>
            </w:pPr>
            <w:r>
              <w:rPr>
                <w:sz w:val="22"/>
                <w:szCs w:val="24"/>
                <w:highlight w:val="none"/>
              </w:rPr>
              <w:t>62</w:t>
            </w:r>
          </w:p>
        </w:tc>
        <w:tc>
          <w:tcPr>
            <w:tcW w:w="769" w:type="pct"/>
            <w:vAlign w:val="top"/>
          </w:tcPr>
          <w:p>
            <w:pPr>
              <w:shd w:val="clear"/>
              <w:spacing w:line="276" w:lineRule="auto"/>
              <w:ind w:firstLine="0"/>
              <w:rPr>
                <w:sz w:val="22"/>
                <w:szCs w:val="24"/>
                <w:highlight w:val="none"/>
              </w:rPr>
            </w:pPr>
            <w:r>
              <w:rPr>
                <w:sz w:val="22"/>
                <w:szCs w:val="24"/>
                <w:highlight w:val="none"/>
              </w:rPr>
              <w:t>150</w:t>
            </w:r>
          </w:p>
        </w:tc>
        <w:tc>
          <w:tcPr>
            <w:tcW w:w="570" w:type="pct"/>
            <w:vAlign w:val="top"/>
          </w:tcPr>
          <w:p>
            <w:pPr>
              <w:shd w:val="clear"/>
              <w:spacing w:line="276" w:lineRule="auto"/>
              <w:ind w:firstLine="0"/>
              <w:rPr>
                <w:sz w:val="22"/>
                <w:szCs w:val="24"/>
                <w:highlight w:val="none"/>
              </w:rPr>
            </w:pPr>
            <w:r>
              <w:rPr>
                <w:rFonts w:hint="default"/>
                <w:sz w:val="22"/>
                <w:szCs w:val="24"/>
                <w:highlight w:val="none"/>
                <w:lang w:val="ru-RU"/>
              </w:rPr>
              <w:t>212</w:t>
            </w:r>
          </w:p>
        </w:tc>
        <w:tc>
          <w:tcPr>
            <w:tcW w:w="898" w:type="pct"/>
            <w:vAlign w:val="top"/>
          </w:tcPr>
          <w:p>
            <w:pPr>
              <w:shd w:val="clear"/>
              <w:spacing w:line="276" w:lineRule="auto"/>
              <w:ind w:firstLine="0"/>
              <w:rPr>
                <w:sz w:val="22"/>
                <w:szCs w:val="24"/>
                <w:highlight w:val="none"/>
              </w:rPr>
            </w:pPr>
            <w:r>
              <w:rPr>
                <w:sz w:val="22"/>
                <w:szCs w:val="24"/>
                <w:highlight w:val="none"/>
              </w:rPr>
              <w:t>7440</w:t>
            </w:r>
          </w:p>
        </w:tc>
        <w:tc>
          <w:tcPr>
            <w:tcW w:w="671" w:type="pct"/>
            <w:vAlign w:val="top"/>
          </w:tcPr>
          <w:p>
            <w:pPr>
              <w:shd w:val="clear"/>
              <w:spacing w:line="276" w:lineRule="auto"/>
              <w:ind w:firstLine="0"/>
              <w:rPr>
                <w:sz w:val="22"/>
                <w:szCs w:val="24"/>
                <w:highlight w:val="none"/>
              </w:rPr>
            </w:pPr>
            <w:r>
              <w:rPr>
                <w:sz w:val="22"/>
                <w:szCs w:val="24"/>
                <w:highlight w:val="none"/>
              </w:rPr>
              <w:t>18000</w:t>
            </w:r>
          </w:p>
        </w:tc>
        <w:tc>
          <w:tcPr>
            <w:tcW w:w="541" w:type="pct"/>
            <w:vAlign w:val="top"/>
          </w:tcPr>
          <w:p>
            <w:pPr>
              <w:shd w:val="clear"/>
              <w:spacing w:line="276" w:lineRule="auto"/>
              <w:ind w:firstLine="0"/>
              <w:rPr>
                <w:sz w:val="22"/>
                <w:szCs w:val="24"/>
                <w:highlight w:val="none"/>
              </w:rPr>
            </w:pPr>
            <w:r>
              <w:rPr>
                <w:sz w:val="22"/>
                <w:szCs w:val="24"/>
                <w:highlight w:val="none"/>
              </w:rPr>
              <w:t>25440</w:t>
            </w:r>
          </w:p>
        </w:tc>
      </w:tr>
    </w:tbl>
    <w:p>
      <w:pPr>
        <w:shd w:val="clear"/>
        <w:spacing w:before="240" w:after="240" w:line="276" w:lineRule="auto"/>
        <w:rPr>
          <w:color w:val="000000" w:themeColor="text1"/>
          <w:sz w:val="24"/>
          <w:szCs w:val="24"/>
          <w:highlight w:val="none"/>
          <w:u w:val="single"/>
          <w14:textFill>
            <w14:solidFill>
              <w14:schemeClr w14:val="tx1"/>
            </w14:solidFill>
          </w14:textFill>
        </w:rPr>
      </w:pPr>
      <w:r>
        <w:rPr>
          <w:color w:val="000000" w:themeColor="text1"/>
          <w:sz w:val="24"/>
          <w:szCs w:val="24"/>
          <w:highlight w:val="none"/>
          <w:u w:val="single"/>
          <w14:textFill>
            <w14:solidFill>
              <w14:schemeClr w14:val="tx1"/>
            </w14:solidFill>
          </w14:textFill>
        </w:rPr>
        <w:t>Население</w:t>
      </w:r>
    </w:p>
    <w:p>
      <w:pPr>
        <w:shd w:val="clear"/>
        <w:spacing w:line="276" w:lineRule="auto"/>
        <w:ind w:firstLine="567"/>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 xml:space="preserve">Расчет численности населения в проектируемом ИЖС был произведен через средний размер коэффициента семейственности, принимаемый - 3 чел. (средней размер частного домохозяйства (коэффициент семейственности) на 2022 год в Сахалинской области равен 2,6 человек). </w:t>
      </w:r>
    </w:p>
    <w:p>
      <w:pPr>
        <w:shd w:val="clear"/>
        <w:spacing w:line="276" w:lineRule="auto"/>
        <w:ind w:firstLine="567"/>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 xml:space="preserve">Таким образом, численность населения в проектируемом жилом фонде составит 450 человек, а проектная численность населения микрорайона составит 636 человека. </w:t>
      </w:r>
    </w:p>
    <w:p>
      <w:pPr>
        <w:shd w:val="clear"/>
        <w:spacing w:line="276" w:lineRule="auto"/>
        <w:ind w:firstLine="567"/>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 xml:space="preserve">В границах проекта планировки средняя обеспеченность населения жилой площадью составит более </w:t>
      </w:r>
      <w:r>
        <w:rPr>
          <w:rFonts w:hint="default"/>
          <w:color w:val="000000" w:themeColor="text1"/>
          <w:sz w:val="24"/>
          <w:szCs w:val="24"/>
          <w:highlight w:val="none"/>
          <w:lang w:val="ru-RU"/>
          <w14:textFill>
            <w14:solidFill>
              <w14:schemeClr w14:val="tx1"/>
            </w14:solidFill>
          </w14:textFill>
        </w:rPr>
        <w:t>40</w:t>
      </w:r>
      <w:r>
        <w:rPr>
          <w:color w:val="000000" w:themeColor="text1"/>
          <w:sz w:val="24"/>
          <w:szCs w:val="24"/>
          <w:highlight w:val="none"/>
          <w14:textFill>
            <w14:solidFill>
              <w14:schemeClr w14:val="tx1"/>
            </w14:solidFill>
          </w14:textFill>
        </w:rPr>
        <w:t xml:space="preserve"> кв.м на человека. Такой показатель отвечает нормативной потребности средней жилищной обеспеченности в 35 кв.м/человека согласно МНГП, утверждённого решением №151 от 25.07.2021 Собрания муниципального образования «Городской округ Ногликский».</w:t>
      </w:r>
    </w:p>
    <w:p>
      <w:pPr>
        <w:shd w:val="clear"/>
        <w:spacing w:before="240" w:after="240" w:line="276" w:lineRule="auto"/>
        <w:rPr>
          <w:color w:val="000000" w:themeColor="text1"/>
          <w:sz w:val="24"/>
          <w:szCs w:val="24"/>
          <w:highlight w:val="none"/>
          <w:u w:val="single"/>
          <w14:textFill>
            <w14:solidFill>
              <w14:schemeClr w14:val="tx1"/>
            </w14:solidFill>
          </w14:textFill>
        </w:rPr>
      </w:pPr>
      <w:r>
        <w:rPr>
          <w:color w:val="000000" w:themeColor="text1"/>
          <w:sz w:val="24"/>
          <w:szCs w:val="24"/>
          <w:highlight w:val="none"/>
          <w:u w:val="single"/>
          <w14:textFill>
            <w14:solidFill>
              <w14:schemeClr w14:val="tx1"/>
            </w14:solidFill>
          </w14:textFill>
        </w:rPr>
        <w:t>Объекты социально-культурного и коммунально-бытового обслуживания населения</w:t>
      </w:r>
    </w:p>
    <w:p>
      <w:pPr>
        <w:shd w:val="clear"/>
        <w:spacing w:before="240" w:line="276" w:lineRule="auto"/>
        <w:ind w:firstLine="567"/>
        <w:rPr>
          <w:color w:val="000000" w:themeColor="text1"/>
          <w:sz w:val="24"/>
          <w:szCs w:val="24"/>
          <w:highlight w:val="none"/>
          <w14:textFill>
            <w14:solidFill>
              <w14:schemeClr w14:val="tx1"/>
            </w14:solidFill>
          </w14:textFill>
        </w:rPr>
      </w:pPr>
      <w:bookmarkStart w:id="31" w:name="_Hlk128567084"/>
      <w:r>
        <w:rPr>
          <w:color w:val="000000" w:themeColor="text1"/>
          <w:sz w:val="24"/>
          <w:szCs w:val="24"/>
          <w:highlight w:val="none"/>
          <w14:textFill>
            <w14:solidFill>
              <w14:schemeClr w14:val="tx1"/>
            </w14:solidFill>
          </w14:textFill>
        </w:rPr>
        <w:t>Размещение объектов социально-культурного и коммунально-бытового обслуживания населения в пределах микрорайона не предусматривается. Для решения задачи обеспечения потребности жителей в объектах социального и коммунально-бытового обслуживания предполагается использовать существующие объекты и учреждения, с учетом допустимого уровня территориальной доступности таких объектов для населения в соответствии с требованиями нормативов градостроительного проектирования</w:t>
      </w:r>
      <w:bookmarkEnd w:id="31"/>
      <w:r>
        <w:rPr>
          <w:color w:val="000000" w:themeColor="text1"/>
          <w:sz w:val="24"/>
          <w:szCs w:val="24"/>
          <w:highlight w:val="none"/>
          <w14:textFill>
            <w14:solidFill>
              <w14:schemeClr w14:val="tx1"/>
            </w14:solidFill>
          </w14:textFill>
        </w:rPr>
        <w:t>.</w:t>
      </w:r>
    </w:p>
    <w:p>
      <w:pPr>
        <w:shd w:val="clear"/>
        <w:spacing w:line="276" w:lineRule="auto"/>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Показатели территориальной доступности существующих объектов соответствуют нормативным требованиям.</w:t>
      </w:r>
    </w:p>
    <w:p>
      <w:pPr>
        <w:spacing w:before="240" w:after="240" w:line="276" w:lineRule="auto"/>
        <w:rPr>
          <w:color w:val="000000" w:themeColor="text1"/>
          <w:sz w:val="24"/>
          <w:szCs w:val="24"/>
          <w:u w:val="single"/>
          <w14:textFill>
            <w14:solidFill>
              <w14:schemeClr w14:val="tx1"/>
            </w14:solidFill>
          </w14:textFill>
        </w:rPr>
      </w:pPr>
      <w:r>
        <w:rPr>
          <w:color w:val="000000" w:themeColor="text1"/>
          <w:sz w:val="24"/>
          <w:szCs w:val="24"/>
          <w:u w:val="single"/>
          <w14:textFill>
            <w14:solidFill>
              <w14:schemeClr w14:val="tx1"/>
            </w14:solidFill>
          </w14:textFill>
        </w:rPr>
        <w:t>Объекты в области предпринимательства.</w:t>
      </w:r>
    </w:p>
    <w:p>
      <w:pPr>
        <w:spacing w:before="240" w:line="276" w:lineRule="auto"/>
        <w:ind w:firstLine="567"/>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 границах проекта планировки территории предусматривается размещение:</w:t>
      </w:r>
    </w:p>
    <w:p>
      <w:pPr>
        <w:pStyle w:val="22"/>
        <w:numPr>
          <w:ilvl w:val="0"/>
          <w:numId w:val="15"/>
        </w:numPr>
        <w:spacing w:before="240" w:line="276" w:lineRule="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2х этажного здания магазина площадью застройки 250 кв.м. и парковки на 5 машино-мест на прилегающей территории;</w:t>
      </w:r>
    </w:p>
    <w:p>
      <w:pPr>
        <w:pStyle w:val="22"/>
        <w:numPr>
          <w:ilvl w:val="0"/>
          <w:numId w:val="15"/>
        </w:numPr>
        <w:spacing w:before="240" w:line="276" w:lineRule="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кафе, площадью застройки 300 кв.м и парковки на 5 машино-мест на прилегающей территории;</w:t>
      </w:r>
    </w:p>
    <w:p>
      <w:pPr>
        <w:pStyle w:val="22"/>
        <w:numPr>
          <w:ilvl w:val="0"/>
          <w:numId w:val="15"/>
        </w:numPr>
        <w:spacing w:before="240" w:line="276" w:lineRule="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объекта административно-торгового назначения, площадью застройки 1025 кв.м, этажностью 2 этажа и парковки на 8 машино-мест на прилегающей территории;</w:t>
      </w:r>
    </w:p>
    <w:p>
      <w:pPr>
        <w:pStyle w:val="22"/>
        <w:numPr>
          <w:ilvl w:val="0"/>
          <w:numId w:val="15"/>
        </w:numPr>
        <w:spacing w:before="240" w:line="276" w:lineRule="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объекта административно-торгового назначения, площадью застройки 450 кв.м, этажностью 2 этажа и парковки на 9 машино-мест на прилегающей территории.</w:t>
      </w:r>
    </w:p>
    <w:p>
      <w:pPr>
        <w:shd w:val="clear"/>
        <w:spacing w:line="276" w:lineRule="auto"/>
        <w:rPr>
          <w:sz w:val="24"/>
          <w:szCs w:val="24"/>
          <w:highlight w:val="none"/>
          <w:u w:val="single"/>
        </w:rPr>
      </w:pPr>
    </w:p>
    <w:p>
      <w:pPr>
        <w:shd w:val="clear"/>
        <w:spacing w:line="276" w:lineRule="auto"/>
        <w:rPr>
          <w:sz w:val="24"/>
          <w:szCs w:val="24"/>
          <w:highlight w:val="none"/>
          <w:u w:val="single"/>
        </w:rPr>
      </w:pPr>
      <w:r>
        <w:rPr>
          <w:sz w:val="24"/>
          <w:szCs w:val="24"/>
          <w:highlight w:val="none"/>
          <w:u w:val="single"/>
        </w:rPr>
        <w:t>Объекты в области обращения с отходами</w:t>
      </w:r>
    </w:p>
    <w:p>
      <w:pPr>
        <w:pStyle w:val="30"/>
        <w:shd w:val="clear"/>
        <w:spacing w:line="276" w:lineRule="auto"/>
        <w:rPr>
          <w:szCs w:val="24"/>
          <w:highlight w:val="none"/>
        </w:rPr>
      </w:pPr>
      <w:r>
        <w:rPr>
          <w:szCs w:val="24"/>
          <w:highlight w:val="none"/>
        </w:rPr>
        <w:t>Для населения (636 чел.) всей индивидуальной жилой застройки проектируемой территории количество образующихся отходов рассчитано согласно данных Приказа № 3.10-34-п от 29 октября 2021 года «Об утверждении нормативов накопления твердых коммунальных отходов на территории Сахалинской области» утвержденных Министерством жилищно-коммунального хозяйства Сахалинской области. Согласно данному документу нормативы образования твердых коммунальных отходов представлены в следующей таблице.</w:t>
      </w:r>
    </w:p>
    <w:p>
      <w:pPr>
        <w:pStyle w:val="14"/>
        <w:shd w:val="clear"/>
        <w:spacing w:before="30" w:line="264" w:lineRule="auto"/>
        <w:ind w:right="-1" w:firstLine="709"/>
        <w:jc w:val="both"/>
        <w:rPr>
          <w:sz w:val="24"/>
          <w:szCs w:val="24"/>
          <w:highlight w:val="none"/>
          <w:lang w:val="ru-RU"/>
        </w:rPr>
      </w:pPr>
      <w:r>
        <w:rPr>
          <w:sz w:val="24"/>
          <w:szCs w:val="24"/>
          <w:highlight w:val="none"/>
          <w:lang w:val="ru-RU"/>
        </w:rPr>
        <w:t>Таблица – Нормативы накопления твердых коммунальных отходов на территории муниципального образования «Городской округ Ногликский»</w:t>
      </w:r>
    </w:p>
    <w:tbl>
      <w:tblPr>
        <w:tblStyle w:val="19"/>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686"/>
        <w:gridCol w:w="2268"/>
        <w:gridCol w:w="1418"/>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vAlign w:val="center"/>
          </w:tcPr>
          <w:p>
            <w:pPr>
              <w:shd w:val="clear"/>
              <w:spacing w:line="276" w:lineRule="auto"/>
              <w:ind w:firstLine="0"/>
              <w:jc w:val="center"/>
              <w:rPr>
                <w:b/>
                <w:color w:val="000000"/>
                <w:sz w:val="20"/>
                <w:szCs w:val="20"/>
                <w:highlight w:val="none"/>
              </w:rPr>
            </w:pPr>
            <w:r>
              <w:rPr>
                <w:b/>
                <w:color w:val="000000"/>
                <w:sz w:val="20"/>
                <w:szCs w:val="20"/>
                <w:highlight w:val="none"/>
              </w:rPr>
              <w:t>№ п/п</w:t>
            </w:r>
          </w:p>
        </w:tc>
        <w:tc>
          <w:tcPr>
            <w:tcW w:w="3686" w:type="dxa"/>
            <w:vMerge w:val="restart"/>
            <w:vAlign w:val="center"/>
          </w:tcPr>
          <w:p>
            <w:pPr>
              <w:shd w:val="clear"/>
              <w:spacing w:line="276" w:lineRule="auto"/>
              <w:ind w:firstLine="0"/>
              <w:jc w:val="center"/>
              <w:rPr>
                <w:b/>
                <w:color w:val="000000"/>
                <w:sz w:val="20"/>
                <w:szCs w:val="20"/>
                <w:highlight w:val="none"/>
              </w:rPr>
            </w:pPr>
            <w:r>
              <w:rPr>
                <w:b/>
                <w:sz w:val="20"/>
                <w:szCs w:val="20"/>
                <w:highlight w:val="none"/>
              </w:rPr>
              <w:t>Наименование категории объектов</w:t>
            </w:r>
          </w:p>
        </w:tc>
        <w:tc>
          <w:tcPr>
            <w:tcW w:w="2268" w:type="dxa"/>
            <w:vMerge w:val="restart"/>
            <w:vAlign w:val="center"/>
          </w:tcPr>
          <w:p>
            <w:pPr>
              <w:shd w:val="clear"/>
              <w:spacing w:line="276" w:lineRule="auto"/>
              <w:ind w:firstLine="0"/>
              <w:jc w:val="center"/>
              <w:rPr>
                <w:b/>
                <w:color w:val="000000"/>
                <w:sz w:val="20"/>
                <w:szCs w:val="20"/>
                <w:highlight w:val="none"/>
              </w:rPr>
            </w:pPr>
            <w:r>
              <w:rPr>
                <w:b/>
                <w:sz w:val="20"/>
                <w:szCs w:val="20"/>
                <w:highlight w:val="none"/>
              </w:rPr>
              <w:t>Расчетная единица, в отношении которой устанавливается норматив</w:t>
            </w:r>
          </w:p>
        </w:tc>
        <w:tc>
          <w:tcPr>
            <w:tcW w:w="2835" w:type="dxa"/>
            <w:gridSpan w:val="2"/>
            <w:vAlign w:val="center"/>
          </w:tcPr>
          <w:p>
            <w:pPr>
              <w:shd w:val="clear"/>
              <w:spacing w:line="276" w:lineRule="auto"/>
              <w:ind w:firstLine="0"/>
              <w:jc w:val="center"/>
              <w:rPr>
                <w:b/>
                <w:color w:val="000000"/>
                <w:sz w:val="20"/>
                <w:szCs w:val="20"/>
                <w:highlight w:val="none"/>
              </w:rPr>
            </w:pPr>
            <w:r>
              <w:rPr>
                <w:b/>
                <w:sz w:val="20"/>
                <w:szCs w:val="20"/>
                <w:highlight w:val="none"/>
              </w:rPr>
              <w:t>Среднегодовые нормативы накопления ТКО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shd w:val="clear"/>
              <w:spacing w:line="276" w:lineRule="auto"/>
              <w:ind w:firstLine="0"/>
              <w:jc w:val="center"/>
              <w:rPr>
                <w:b/>
                <w:color w:val="000000"/>
                <w:sz w:val="20"/>
                <w:szCs w:val="20"/>
                <w:highlight w:val="none"/>
              </w:rPr>
            </w:pPr>
          </w:p>
        </w:tc>
        <w:tc>
          <w:tcPr>
            <w:tcW w:w="3686" w:type="dxa"/>
            <w:vMerge w:val="continue"/>
            <w:vAlign w:val="center"/>
          </w:tcPr>
          <w:p>
            <w:pPr>
              <w:shd w:val="clear"/>
              <w:spacing w:line="276" w:lineRule="auto"/>
              <w:ind w:firstLine="0"/>
              <w:jc w:val="center"/>
              <w:rPr>
                <w:b/>
                <w:color w:val="000000"/>
                <w:sz w:val="20"/>
                <w:szCs w:val="20"/>
                <w:highlight w:val="none"/>
              </w:rPr>
            </w:pPr>
          </w:p>
        </w:tc>
        <w:tc>
          <w:tcPr>
            <w:tcW w:w="2268" w:type="dxa"/>
            <w:vMerge w:val="continue"/>
            <w:vAlign w:val="center"/>
          </w:tcPr>
          <w:p>
            <w:pPr>
              <w:shd w:val="clear"/>
              <w:spacing w:line="276" w:lineRule="auto"/>
              <w:ind w:firstLine="0"/>
              <w:jc w:val="center"/>
              <w:rPr>
                <w:b/>
                <w:color w:val="000000"/>
                <w:sz w:val="20"/>
                <w:szCs w:val="20"/>
                <w:highlight w:val="none"/>
              </w:rPr>
            </w:pPr>
          </w:p>
        </w:tc>
        <w:tc>
          <w:tcPr>
            <w:tcW w:w="1418" w:type="dxa"/>
            <w:vAlign w:val="center"/>
          </w:tcPr>
          <w:p>
            <w:pPr>
              <w:shd w:val="clear"/>
              <w:spacing w:line="276" w:lineRule="auto"/>
              <w:ind w:firstLine="0"/>
              <w:jc w:val="center"/>
              <w:rPr>
                <w:b/>
                <w:color w:val="000000"/>
                <w:sz w:val="20"/>
                <w:szCs w:val="20"/>
                <w:highlight w:val="none"/>
              </w:rPr>
            </w:pPr>
            <w:r>
              <w:rPr>
                <w:b/>
                <w:sz w:val="20"/>
                <w:szCs w:val="20"/>
                <w:highlight w:val="none"/>
              </w:rPr>
              <w:t>Масса, кг/год</w:t>
            </w:r>
          </w:p>
        </w:tc>
        <w:tc>
          <w:tcPr>
            <w:tcW w:w="1417" w:type="dxa"/>
            <w:vAlign w:val="center"/>
          </w:tcPr>
          <w:p>
            <w:pPr>
              <w:shd w:val="clear"/>
              <w:spacing w:line="276" w:lineRule="auto"/>
              <w:ind w:firstLine="0"/>
              <w:jc w:val="center"/>
              <w:rPr>
                <w:b/>
                <w:color w:val="000000"/>
                <w:sz w:val="20"/>
                <w:szCs w:val="20"/>
                <w:highlight w:val="none"/>
              </w:rPr>
            </w:pPr>
            <w:r>
              <w:rPr>
                <w:b/>
                <w:sz w:val="20"/>
                <w:szCs w:val="20"/>
                <w:highlight w:val="none"/>
              </w:rPr>
              <w:t>Объем, м</w:t>
            </w:r>
            <w:r>
              <w:rPr>
                <w:b/>
                <w:sz w:val="20"/>
                <w:szCs w:val="20"/>
                <w:highlight w:val="none"/>
                <w:vertAlign w:val="superscript"/>
              </w:rPr>
              <w:t>3</w:t>
            </w:r>
            <w:r>
              <w:rPr>
                <w:b/>
                <w:sz w:val="20"/>
                <w:szCs w:val="20"/>
                <w:highlight w:val="none"/>
              </w:rPr>
              <w:t>/год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675" w:type="dxa"/>
            <w:vAlign w:val="center"/>
          </w:tcPr>
          <w:p>
            <w:pPr>
              <w:shd w:val="clear"/>
              <w:spacing w:line="276" w:lineRule="auto"/>
              <w:ind w:firstLine="0"/>
              <w:jc w:val="center"/>
              <w:rPr>
                <w:color w:val="000000"/>
                <w:sz w:val="20"/>
                <w:szCs w:val="20"/>
                <w:highlight w:val="none"/>
              </w:rPr>
            </w:pPr>
            <w:r>
              <w:rPr>
                <w:color w:val="000000"/>
                <w:sz w:val="20"/>
                <w:szCs w:val="20"/>
                <w:highlight w:val="none"/>
              </w:rPr>
              <w:t>1</w:t>
            </w:r>
          </w:p>
        </w:tc>
        <w:tc>
          <w:tcPr>
            <w:tcW w:w="3686" w:type="dxa"/>
            <w:vAlign w:val="center"/>
          </w:tcPr>
          <w:p>
            <w:pPr>
              <w:shd w:val="clear"/>
              <w:spacing w:line="276" w:lineRule="auto"/>
              <w:ind w:firstLine="0"/>
              <w:jc w:val="center"/>
              <w:rPr>
                <w:color w:val="000000"/>
                <w:sz w:val="20"/>
                <w:szCs w:val="20"/>
                <w:highlight w:val="none"/>
              </w:rPr>
            </w:pPr>
            <w:r>
              <w:rPr>
                <w:color w:val="000000"/>
                <w:sz w:val="20"/>
                <w:szCs w:val="20"/>
                <w:highlight w:val="none"/>
              </w:rPr>
              <w:t>Многоквартирные дома (с учетом накопления крупногабаритных отходов)</w:t>
            </w:r>
          </w:p>
        </w:tc>
        <w:tc>
          <w:tcPr>
            <w:tcW w:w="2268" w:type="dxa"/>
            <w:vAlign w:val="center"/>
          </w:tcPr>
          <w:p>
            <w:pPr>
              <w:shd w:val="clear"/>
              <w:spacing w:line="276" w:lineRule="auto"/>
              <w:ind w:firstLine="0"/>
              <w:jc w:val="center"/>
              <w:rPr>
                <w:color w:val="000000"/>
                <w:sz w:val="20"/>
                <w:szCs w:val="20"/>
                <w:highlight w:val="none"/>
              </w:rPr>
            </w:pPr>
            <w:r>
              <w:rPr>
                <w:sz w:val="20"/>
                <w:szCs w:val="20"/>
                <w:highlight w:val="none"/>
              </w:rPr>
              <w:t>На 1 проживающего</w:t>
            </w:r>
          </w:p>
        </w:tc>
        <w:tc>
          <w:tcPr>
            <w:tcW w:w="1418" w:type="dxa"/>
            <w:vAlign w:val="center"/>
          </w:tcPr>
          <w:p>
            <w:pPr>
              <w:shd w:val="clear"/>
              <w:spacing w:line="276" w:lineRule="auto"/>
              <w:ind w:firstLine="0"/>
              <w:jc w:val="center"/>
              <w:rPr>
                <w:color w:val="000000"/>
                <w:sz w:val="20"/>
                <w:szCs w:val="20"/>
                <w:highlight w:val="none"/>
              </w:rPr>
            </w:pPr>
            <w:r>
              <w:rPr>
                <w:color w:val="000000"/>
                <w:sz w:val="20"/>
                <w:szCs w:val="20"/>
                <w:highlight w:val="none"/>
              </w:rPr>
              <w:t>414,55</w:t>
            </w:r>
          </w:p>
        </w:tc>
        <w:tc>
          <w:tcPr>
            <w:tcW w:w="1417" w:type="dxa"/>
            <w:vAlign w:val="center"/>
          </w:tcPr>
          <w:p>
            <w:pPr>
              <w:shd w:val="clear"/>
              <w:spacing w:line="276" w:lineRule="auto"/>
              <w:ind w:firstLine="0"/>
              <w:jc w:val="center"/>
              <w:rPr>
                <w:sz w:val="20"/>
                <w:szCs w:val="20"/>
                <w:highlight w:val="none"/>
              </w:rPr>
            </w:pPr>
            <w:r>
              <w:rPr>
                <w:sz w:val="20"/>
                <w:szCs w:val="20"/>
                <w:highlight w:val="none"/>
              </w:rPr>
              <w:t>3,285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675" w:type="dxa"/>
            <w:vAlign w:val="center"/>
          </w:tcPr>
          <w:p>
            <w:pPr>
              <w:shd w:val="clear"/>
              <w:spacing w:line="276" w:lineRule="auto"/>
              <w:ind w:firstLine="0"/>
              <w:jc w:val="center"/>
              <w:rPr>
                <w:color w:val="000000"/>
                <w:sz w:val="20"/>
                <w:szCs w:val="20"/>
                <w:highlight w:val="none"/>
              </w:rPr>
            </w:pPr>
            <w:r>
              <w:rPr>
                <w:color w:val="000000"/>
                <w:sz w:val="20"/>
                <w:szCs w:val="20"/>
                <w:highlight w:val="none"/>
              </w:rPr>
              <w:t>2</w:t>
            </w:r>
          </w:p>
        </w:tc>
        <w:tc>
          <w:tcPr>
            <w:tcW w:w="3686" w:type="dxa"/>
            <w:vAlign w:val="center"/>
          </w:tcPr>
          <w:p>
            <w:pPr>
              <w:shd w:val="clear"/>
              <w:spacing w:line="276" w:lineRule="auto"/>
              <w:ind w:firstLine="0"/>
              <w:jc w:val="center"/>
              <w:rPr>
                <w:color w:val="000000"/>
                <w:sz w:val="20"/>
                <w:szCs w:val="20"/>
                <w:highlight w:val="none"/>
              </w:rPr>
            </w:pPr>
            <w:r>
              <w:rPr>
                <w:color w:val="000000"/>
                <w:sz w:val="20"/>
                <w:szCs w:val="20"/>
                <w:highlight w:val="none"/>
              </w:rPr>
              <w:t>Индивидуальные жилые дома (с учетом накопления крупногабаритных отходов)</w:t>
            </w:r>
          </w:p>
        </w:tc>
        <w:tc>
          <w:tcPr>
            <w:tcW w:w="2268" w:type="dxa"/>
            <w:vAlign w:val="center"/>
          </w:tcPr>
          <w:p>
            <w:pPr>
              <w:shd w:val="clear"/>
              <w:spacing w:line="276" w:lineRule="auto"/>
              <w:ind w:firstLine="0"/>
              <w:jc w:val="center"/>
              <w:rPr>
                <w:color w:val="000000"/>
                <w:sz w:val="20"/>
                <w:szCs w:val="20"/>
                <w:highlight w:val="none"/>
              </w:rPr>
            </w:pPr>
            <w:r>
              <w:rPr>
                <w:sz w:val="20"/>
                <w:szCs w:val="20"/>
                <w:highlight w:val="none"/>
              </w:rPr>
              <w:t>На 1 проживающего</w:t>
            </w:r>
          </w:p>
        </w:tc>
        <w:tc>
          <w:tcPr>
            <w:tcW w:w="1418" w:type="dxa"/>
            <w:vAlign w:val="center"/>
          </w:tcPr>
          <w:p>
            <w:pPr>
              <w:shd w:val="clear"/>
              <w:spacing w:line="276" w:lineRule="auto"/>
              <w:ind w:firstLine="0"/>
              <w:jc w:val="center"/>
              <w:rPr>
                <w:sz w:val="20"/>
                <w:szCs w:val="20"/>
                <w:highlight w:val="none"/>
              </w:rPr>
            </w:pPr>
            <w:r>
              <w:rPr>
                <w:sz w:val="20"/>
                <w:szCs w:val="20"/>
                <w:highlight w:val="none"/>
              </w:rPr>
              <w:t>418,56</w:t>
            </w:r>
          </w:p>
        </w:tc>
        <w:tc>
          <w:tcPr>
            <w:tcW w:w="1417" w:type="dxa"/>
            <w:vAlign w:val="center"/>
          </w:tcPr>
          <w:p>
            <w:pPr>
              <w:shd w:val="clear"/>
              <w:spacing w:line="276" w:lineRule="auto"/>
              <w:ind w:firstLine="0"/>
              <w:jc w:val="center"/>
              <w:rPr>
                <w:sz w:val="20"/>
                <w:szCs w:val="20"/>
                <w:highlight w:val="none"/>
              </w:rPr>
            </w:pPr>
            <w:r>
              <w:rPr>
                <w:sz w:val="20"/>
                <w:szCs w:val="20"/>
                <w:highlight w:val="none"/>
              </w:rPr>
              <w:t>3,376</w:t>
            </w:r>
          </w:p>
        </w:tc>
      </w:tr>
    </w:tbl>
    <w:p>
      <w:pPr>
        <w:pStyle w:val="14"/>
        <w:shd w:val="clear"/>
        <w:spacing w:before="30" w:line="264" w:lineRule="auto"/>
        <w:ind w:right="-1" w:firstLine="709"/>
        <w:jc w:val="both"/>
        <w:rPr>
          <w:sz w:val="24"/>
          <w:szCs w:val="24"/>
          <w:highlight w:val="none"/>
          <w:lang w:val="ru-RU"/>
        </w:rPr>
      </w:pPr>
    </w:p>
    <w:p>
      <w:pPr>
        <w:pStyle w:val="14"/>
        <w:shd w:val="clear"/>
        <w:spacing w:before="30" w:line="264" w:lineRule="auto"/>
        <w:ind w:right="-1" w:firstLine="709"/>
        <w:jc w:val="both"/>
        <w:rPr>
          <w:sz w:val="24"/>
          <w:szCs w:val="24"/>
          <w:highlight w:val="none"/>
          <w:lang w:val="ru-RU"/>
        </w:rPr>
      </w:pPr>
      <w:r>
        <w:rPr>
          <w:sz w:val="24"/>
          <w:szCs w:val="24"/>
          <w:highlight w:val="none"/>
          <w:lang w:val="ru-RU"/>
        </w:rPr>
        <w:t>Таблица – Расчетное (усредненное) количество образующихся твердых коммунальных отходов от населения</w:t>
      </w:r>
    </w:p>
    <w:tbl>
      <w:tblPr>
        <w:tblStyle w:val="7"/>
        <w:tblW w:w="486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0"/>
        <w:gridCol w:w="3407"/>
        <w:gridCol w:w="1705"/>
        <w:gridCol w:w="1838"/>
        <w:gridCol w:w="16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0" w:type="pct"/>
            <w:vAlign w:val="center"/>
          </w:tcPr>
          <w:p>
            <w:pPr>
              <w:shd w:val="clear"/>
              <w:spacing w:line="276" w:lineRule="auto"/>
              <w:ind w:firstLine="0"/>
              <w:jc w:val="center"/>
              <w:rPr>
                <w:b/>
                <w:color w:val="000000"/>
                <w:sz w:val="20"/>
                <w:szCs w:val="20"/>
                <w:highlight w:val="none"/>
              </w:rPr>
            </w:pPr>
            <w:r>
              <w:rPr>
                <w:b/>
                <w:color w:val="000000"/>
                <w:sz w:val="20"/>
                <w:szCs w:val="20"/>
                <w:highlight w:val="none"/>
              </w:rPr>
              <w:t>№ п/п</w:t>
            </w:r>
          </w:p>
        </w:tc>
        <w:tc>
          <w:tcPr>
            <w:tcW w:w="1828" w:type="pct"/>
            <w:vAlign w:val="center"/>
          </w:tcPr>
          <w:p>
            <w:pPr>
              <w:pStyle w:val="56"/>
              <w:shd w:val="clear"/>
              <w:spacing w:line="276" w:lineRule="auto"/>
              <w:ind w:right="0"/>
              <w:jc w:val="center"/>
              <w:rPr>
                <w:highlight w:val="none"/>
              </w:rPr>
            </w:pPr>
            <w:r>
              <w:rPr>
                <w:highlight w:val="none"/>
              </w:rPr>
              <w:t>Наименование категории</w:t>
            </w:r>
          </w:p>
        </w:tc>
        <w:tc>
          <w:tcPr>
            <w:tcW w:w="915" w:type="pct"/>
            <w:vAlign w:val="center"/>
          </w:tcPr>
          <w:p>
            <w:pPr>
              <w:pStyle w:val="56"/>
              <w:shd w:val="clear"/>
              <w:spacing w:line="276" w:lineRule="auto"/>
              <w:ind w:right="0"/>
              <w:jc w:val="center"/>
              <w:rPr>
                <w:highlight w:val="none"/>
              </w:rPr>
            </w:pPr>
            <w:r>
              <w:rPr>
                <w:highlight w:val="none"/>
              </w:rPr>
              <w:t>Численность населения (чел.)</w:t>
            </w:r>
          </w:p>
        </w:tc>
        <w:tc>
          <w:tcPr>
            <w:tcW w:w="986" w:type="pct"/>
            <w:vAlign w:val="center"/>
          </w:tcPr>
          <w:p>
            <w:pPr>
              <w:pStyle w:val="56"/>
              <w:shd w:val="clear"/>
              <w:spacing w:line="276" w:lineRule="auto"/>
              <w:ind w:right="0"/>
              <w:jc w:val="center"/>
              <w:rPr>
                <w:highlight w:val="none"/>
              </w:rPr>
            </w:pPr>
            <w:r>
              <w:rPr>
                <w:highlight w:val="none"/>
              </w:rPr>
              <w:t>Количество отходов, тонн/год</w:t>
            </w:r>
          </w:p>
        </w:tc>
        <w:tc>
          <w:tcPr>
            <w:tcW w:w="911" w:type="pct"/>
            <w:vAlign w:val="center"/>
          </w:tcPr>
          <w:p>
            <w:pPr>
              <w:pStyle w:val="56"/>
              <w:shd w:val="clear"/>
              <w:spacing w:line="276" w:lineRule="auto"/>
              <w:ind w:right="0"/>
              <w:jc w:val="center"/>
              <w:rPr>
                <w:highlight w:val="none"/>
              </w:rPr>
            </w:pPr>
            <w:r>
              <w:rPr>
                <w:highlight w:val="none"/>
              </w:rPr>
              <w:t>Количество отходов, м</w:t>
            </w:r>
            <w:r>
              <w:rPr>
                <w:highlight w:val="none"/>
                <w:vertAlign w:val="superscript"/>
              </w:rPr>
              <w:t>3</w:t>
            </w:r>
            <w:r>
              <w:rPr>
                <w:highlight w:val="none"/>
              </w:rPr>
              <w:t>/год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0" w:type="pct"/>
            <w:vAlign w:val="center"/>
          </w:tcPr>
          <w:p>
            <w:pPr>
              <w:shd w:val="clear"/>
              <w:spacing w:line="276" w:lineRule="auto"/>
              <w:ind w:firstLine="0"/>
              <w:jc w:val="center"/>
              <w:rPr>
                <w:color w:val="000000"/>
                <w:sz w:val="20"/>
                <w:szCs w:val="20"/>
                <w:highlight w:val="none"/>
              </w:rPr>
            </w:pPr>
            <w:r>
              <w:rPr>
                <w:color w:val="000000"/>
                <w:sz w:val="20"/>
                <w:szCs w:val="20"/>
                <w:highlight w:val="none"/>
              </w:rPr>
              <w:t>1</w:t>
            </w:r>
          </w:p>
        </w:tc>
        <w:tc>
          <w:tcPr>
            <w:tcW w:w="1828" w:type="pct"/>
            <w:vAlign w:val="center"/>
          </w:tcPr>
          <w:p>
            <w:pPr>
              <w:shd w:val="clear"/>
              <w:ind w:firstLine="200" w:firstLineChars="100"/>
              <w:rPr>
                <w:sz w:val="20"/>
                <w:szCs w:val="20"/>
                <w:highlight w:val="none"/>
              </w:rPr>
            </w:pPr>
            <w:r>
              <w:rPr>
                <w:color w:val="000000"/>
                <w:sz w:val="20"/>
                <w:szCs w:val="20"/>
                <w:highlight w:val="none"/>
              </w:rPr>
              <w:t>Индивидуальные жилые дома</w:t>
            </w:r>
          </w:p>
        </w:tc>
        <w:tc>
          <w:tcPr>
            <w:tcW w:w="915" w:type="pct"/>
            <w:vAlign w:val="center"/>
          </w:tcPr>
          <w:p>
            <w:pPr>
              <w:shd w:val="clear"/>
              <w:ind w:firstLine="0"/>
              <w:jc w:val="center"/>
              <w:rPr>
                <w:sz w:val="20"/>
                <w:szCs w:val="20"/>
                <w:highlight w:val="none"/>
              </w:rPr>
            </w:pPr>
            <w:r>
              <w:rPr>
                <w:sz w:val="20"/>
                <w:szCs w:val="20"/>
                <w:highlight w:val="none"/>
              </w:rPr>
              <w:t>636</w:t>
            </w:r>
          </w:p>
        </w:tc>
        <w:tc>
          <w:tcPr>
            <w:tcW w:w="986" w:type="pct"/>
            <w:vAlign w:val="center"/>
          </w:tcPr>
          <w:p>
            <w:pPr>
              <w:shd w:val="clear"/>
              <w:ind w:firstLine="0"/>
              <w:jc w:val="center"/>
              <w:rPr>
                <w:color w:val="000000"/>
                <w:sz w:val="20"/>
                <w:szCs w:val="20"/>
                <w:highlight w:val="none"/>
              </w:rPr>
            </w:pPr>
            <w:r>
              <w:rPr>
                <w:color w:val="000000"/>
                <w:sz w:val="20"/>
                <w:szCs w:val="20"/>
                <w:highlight w:val="none"/>
              </w:rPr>
              <w:t>266,20</w:t>
            </w:r>
          </w:p>
        </w:tc>
        <w:tc>
          <w:tcPr>
            <w:tcW w:w="911" w:type="pct"/>
            <w:vAlign w:val="center"/>
          </w:tcPr>
          <w:p>
            <w:pPr>
              <w:shd w:val="clear"/>
              <w:ind w:firstLine="0"/>
              <w:jc w:val="center"/>
              <w:rPr>
                <w:color w:val="000000"/>
                <w:sz w:val="20"/>
                <w:szCs w:val="20"/>
                <w:highlight w:val="none"/>
              </w:rPr>
            </w:pPr>
            <w:r>
              <w:rPr>
                <w:color w:val="000000"/>
                <w:sz w:val="20"/>
                <w:szCs w:val="20"/>
                <w:highlight w:val="none"/>
              </w:rPr>
              <w:t>2147,14</w:t>
            </w:r>
          </w:p>
        </w:tc>
      </w:tr>
    </w:tbl>
    <w:p>
      <w:pPr>
        <w:shd w:val="clear"/>
        <w:spacing w:line="276" w:lineRule="auto"/>
        <w:rPr>
          <w:sz w:val="24"/>
          <w:szCs w:val="24"/>
          <w:highlight w:val="none"/>
        </w:rPr>
      </w:pPr>
      <w:r>
        <w:rPr>
          <w:sz w:val="24"/>
          <w:szCs w:val="24"/>
          <w:highlight w:val="none"/>
        </w:rPr>
        <w:t>Объекты по размещению, обработки, утилизации и обезвреживанию отходов на проектируемой территории отсутствуют и к строительству не предлагаются.</w:t>
      </w:r>
    </w:p>
    <w:p>
      <w:pPr>
        <w:shd w:val="clear"/>
        <w:spacing w:line="276" w:lineRule="auto"/>
        <w:rPr>
          <w:sz w:val="24"/>
          <w:szCs w:val="24"/>
          <w:highlight w:val="none"/>
        </w:rPr>
      </w:pPr>
    </w:p>
    <w:p>
      <w:pPr>
        <w:shd w:val="clear"/>
        <w:spacing w:line="276" w:lineRule="auto"/>
        <w:rPr>
          <w:sz w:val="24"/>
          <w:szCs w:val="24"/>
          <w:highlight w:val="none"/>
          <w:u w:val="single"/>
        </w:rPr>
      </w:pPr>
      <w:r>
        <w:rPr>
          <w:sz w:val="24"/>
          <w:szCs w:val="24"/>
          <w:highlight w:val="none"/>
          <w:u w:val="single"/>
        </w:rPr>
        <w:t>Объекты в области обеспечения инженерной и коммунальной инфраструктурой.</w:t>
      </w:r>
    </w:p>
    <w:p>
      <w:pPr>
        <w:pStyle w:val="4"/>
        <w:spacing w:before="120" w:after="0" w:line="300" w:lineRule="auto"/>
        <w:ind w:firstLine="709"/>
        <w:contextualSpacing/>
        <w:jc w:val="both"/>
        <w:rPr>
          <w:rFonts w:ascii="Times New Roman" w:hAnsi="Times New Roman"/>
          <w:sz w:val="24"/>
          <w:szCs w:val="24"/>
        </w:rPr>
      </w:pPr>
      <w:bookmarkStart w:id="32" w:name="_Toc461181155"/>
      <w:r>
        <w:rPr>
          <w:rFonts w:ascii="Times New Roman" w:hAnsi="Times New Roman"/>
          <w:sz w:val="24"/>
          <w:szCs w:val="24"/>
        </w:rPr>
        <w:t>ВОДОСНАБЖЕНИЕ</w:t>
      </w:r>
      <w:bookmarkEnd w:id="32"/>
    </w:p>
    <w:p>
      <w:pPr>
        <w:tabs>
          <w:tab w:val="left" w:pos="993"/>
        </w:tabs>
        <w:spacing w:after="0" w:line="300" w:lineRule="auto"/>
        <w:ind w:firstLine="709"/>
        <w:contextualSpacing/>
        <w:jc w:val="both"/>
        <w:rPr>
          <w:rFonts w:ascii="Times New Roman" w:hAnsi="Times New Roman"/>
          <w:sz w:val="24"/>
          <w:szCs w:val="24"/>
        </w:rPr>
      </w:pPr>
      <w:r>
        <w:rPr>
          <w:rFonts w:ascii="Times New Roman" w:hAnsi="Times New Roman"/>
          <w:sz w:val="24"/>
          <w:szCs w:val="24"/>
        </w:rPr>
        <w:t>Раздел выполнен с учетом требований:</w:t>
      </w:r>
    </w:p>
    <w:p>
      <w:pPr>
        <w:numPr>
          <w:ilvl w:val="0"/>
          <w:numId w:val="16"/>
        </w:numPr>
        <w:tabs>
          <w:tab w:val="left" w:pos="284"/>
        </w:tabs>
        <w:spacing w:after="0" w:line="300" w:lineRule="auto"/>
        <w:ind w:left="0" w:right="-285" w:firstLine="426"/>
        <w:jc w:val="both"/>
        <w:rPr>
          <w:rFonts w:ascii="Times New Roman" w:hAnsi="Times New Roman"/>
          <w:sz w:val="24"/>
          <w:szCs w:val="24"/>
        </w:rPr>
      </w:pPr>
      <w:r>
        <w:rPr>
          <w:rFonts w:ascii="Times New Roman" w:hAnsi="Times New Roman"/>
          <w:sz w:val="24"/>
          <w:szCs w:val="24"/>
        </w:rPr>
        <w:t>СП 30.13330.2020. Свод правил. Внутренний водопровод и канализация зданий. Актуализированная редакция СНиП 2.04.01-85*;</w:t>
      </w:r>
    </w:p>
    <w:p>
      <w:pPr>
        <w:numPr>
          <w:ilvl w:val="0"/>
          <w:numId w:val="16"/>
        </w:numPr>
        <w:tabs>
          <w:tab w:val="left" w:pos="284"/>
        </w:tabs>
        <w:spacing w:after="0" w:line="300" w:lineRule="auto"/>
        <w:ind w:left="0" w:right="-285" w:firstLine="426"/>
        <w:jc w:val="both"/>
        <w:rPr>
          <w:rFonts w:ascii="Times New Roman" w:hAnsi="Times New Roman"/>
          <w:sz w:val="24"/>
          <w:szCs w:val="24"/>
        </w:rPr>
      </w:pPr>
      <w:r>
        <w:rPr>
          <w:rFonts w:ascii="Times New Roman" w:hAnsi="Times New Roman"/>
          <w:sz w:val="24"/>
          <w:szCs w:val="24"/>
        </w:rPr>
        <w:t>СП 31.13330.2021. Свод правил. Водоснабжение. Наружные сети и сооружения. Актуализированная редакция СНиП 2.04.02-84*;</w:t>
      </w:r>
    </w:p>
    <w:p>
      <w:pPr>
        <w:numPr>
          <w:ilvl w:val="0"/>
          <w:numId w:val="16"/>
        </w:numPr>
        <w:tabs>
          <w:tab w:val="left" w:pos="284"/>
        </w:tabs>
        <w:spacing w:after="0" w:line="300" w:lineRule="auto"/>
        <w:ind w:left="0" w:right="-285" w:firstLine="426"/>
        <w:jc w:val="both"/>
        <w:rPr>
          <w:rFonts w:ascii="Times New Roman" w:hAnsi="Times New Roman"/>
          <w:sz w:val="24"/>
          <w:szCs w:val="24"/>
        </w:rPr>
      </w:pPr>
      <w:r>
        <w:rPr>
          <w:rFonts w:ascii="Times New Roman" w:hAnsi="Times New Roman"/>
          <w:sz w:val="24"/>
          <w:szCs w:val="24"/>
        </w:rPr>
        <w:t>СП 129.13330.2019. Свод правил. Наружные сети и сооружения водоснабжения и канализации. Актуализированная редакция СНиП 3.05.04-85*;</w:t>
      </w:r>
    </w:p>
    <w:p>
      <w:pPr>
        <w:numPr>
          <w:ilvl w:val="0"/>
          <w:numId w:val="16"/>
        </w:numPr>
        <w:tabs>
          <w:tab w:val="left" w:pos="284"/>
        </w:tabs>
        <w:spacing w:after="0" w:line="300" w:lineRule="auto"/>
        <w:ind w:left="0" w:right="-285" w:firstLine="426"/>
        <w:jc w:val="both"/>
        <w:rPr>
          <w:rFonts w:ascii="Times New Roman" w:hAnsi="Times New Roman"/>
          <w:sz w:val="24"/>
          <w:szCs w:val="24"/>
        </w:rPr>
      </w:pPr>
      <w:r>
        <w:rPr>
          <w:rFonts w:ascii="Times New Roman" w:hAnsi="Times New Roman"/>
          <w:sz w:val="24"/>
          <w:szCs w:val="24"/>
        </w:rPr>
        <w:t>СН 456-73. Нормы отвода земель для магистральных водоводов и канализационных коллекторов;</w:t>
      </w:r>
    </w:p>
    <w:p>
      <w:pPr>
        <w:pStyle w:val="22"/>
        <w:spacing w:after="0" w:line="300" w:lineRule="auto"/>
        <w:ind w:left="0" w:firstLine="709"/>
        <w:jc w:val="both"/>
        <w:rPr>
          <w:rFonts w:ascii="Times New Roman" w:hAnsi="Times New Roman" w:eastAsia="Times New Roman"/>
          <w:b/>
          <w:sz w:val="24"/>
          <w:szCs w:val="24"/>
          <w:lang w:eastAsia="ru-RU"/>
        </w:rPr>
      </w:pPr>
      <w:r>
        <w:rPr>
          <w:rFonts w:ascii="Times New Roman" w:hAnsi="Times New Roman" w:eastAsia="Times New Roman"/>
          <w:b/>
          <w:sz w:val="24"/>
          <w:szCs w:val="24"/>
          <w:lang w:eastAsia="ru-RU"/>
        </w:rPr>
        <w:t>Существующее положение</w:t>
      </w:r>
    </w:p>
    <w:p>
      <w:pPr>
        <w:pStyle w:val="22"/>
        <w:spacing w:after="0" w:line="300" w:lineRule="auto"/>
        <w:ind w:left="0" w:firstLine="709"/>
        <w:jc w:val="both"/>
        <w:rPr>
          <w:rFonts w:ascii="Times New Roman" w:hAnsi="Times New Roman"/>
          <w:bCs/>
          <w:sz w:val="24"/>
          <w:szCs w:val="24"/>
        </w:rPr>
      </w:pPr>
      <w:r>
        <w:rPr>
          <w:rFonts w:ascii="Times New Roman" w:hAnsi="Times New Roman"/>
          <w:bCs/>
          <w:sz w:val="24"/>
          <w:szCs w:val="24"/>
        </w:rPr>
        <w:t xml:space="preserve">На момент разработки настоящего проекта планировки территории и проекта межевания территории квартала № 15 пгт. Ноглики муниципального образования «Городской округ Ногликский», </w:t>
      </w:r>
      <w:r>
        <w:rPr>
          <w:rFonts w:ascii="Times New Roman" w:hAnsi="Times New Roman" w:eastAsia="Times New Roman"/>
          <w:sz w:val="24"/>
          <w:szCs w:val="24"/>
          <w:lang w:eastAsia="ru-RU"/>
        </w:rPr>
        <w:t>на территории сети и объекты водоснабжения отсутствуют.</w:t>
      </w:r>
    </w:p>
    <w:p>
      <w:pPr>
        <w:pStyle w:val="22"/>
        <w:spacing w:after="0" w:line="300" w:lineRule="auto"/>
        <w:ind w:left="0" w:firstLine="709"/>
        <w:jc w:val="both"/>
        <w:rPr>
          <w:rFonts w:ascii="Times New Roman" w:hAnsi="Times New Roman" w:eastAsia="Times New Roman"/>
          <w:b/>
          <w:sz w:val="24"/>
          <w:szCs w:val="24"/>
          <w:lang w:eastAsia="ru-RU"/>
        </w:rPr>
      </w:pPr>
      <w:r>
        <w:rPr>
          <w:rFonts w:ascii="Times New Roman" w:hAnsi="Times New Roman" w:eastAsia="Times New Roman"/>
          <w:b/>
          <w:sz w:val="24"/>
          <w:szCs w:val="24"/>
          <w:lang w:eastAsia="ru-RU"/>
        </w:rPr>
        <w:t>Проектные положения</w:t>
      </w:r>
    </w:p>
    <w:p>
      <w:pPr>
        <w:spacing w:after="0" w:line="300" w:lineRule="auto"/>
        <w:ind w:firstLine="709"/>
        <w:contextualSpacing/>
        <w:jc w:val="both"/>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Настоящим проектом решается схема размещения сетей хозяйственно-питьевого водопровода для инженерного обеспечения объектов нового строительства в границах отведенных участков.</w:t>
      </w:r>
    </w:p>
    <w:p>
      <w:pPr>
        <w:spacing w:after="0" w:line="300" w:lineRule="auto"/>
        <w:ind w:firstLine="709"/>
        <w:contextualSpacing/>
        <w:jc w:val="both"/>
        <w:rPr>
          <w:rFonts w:ascii="Times New Roman" w:hAnsi="Times New Roman" w:eastAsia="Times New Roman"/>
          <w:color w:val="000000"/>
          <w:sz w:val="24"/>
          <w:szCs w:val="24"/>
          <w:lang w:eastAsia="ru-RU"/>
        </w:rPr>
      </w:pPr>
      <w:r>
        <w:rPr>
          <w:rFonts w:ascii="Times New Roman" w:hAnsi="Times New Roman" w:eastAsia="Times New Roman"/>
          <w:color w:val="000000"/>
          <w:sz w:val="24"/>
          <w:szCs w:val="24"/>
          <w:lang w:eastAsia="ru-RU"/>
        </w:rPr>
        <w:t xml:space="preserve">Проектом предлагается строительство сетей водоснабжения с подключением к существующей централизованной системе холодного водоснабжения пгт. Ноглики. </w:t>
      </w:r>
    </w:p>
    <w:p>
      <w:pPr>
        <w:spacing w:after="0" w:line="300" w:lineRule="auto"/>
        <w:ind w:firstLine="709"/>
        <w:contextualSpacing/>
        <w:jc w:val="both"/>
        <w:rPr>
          <w:rFonts w:ascii="Times New Roman" w:hAnsi="Times New Roman" w:eastAsia="Times New Roman"/>
          <w:color w:val="000000"/>
          <w:sz w:val="24"/>
          <w:szCs w:val="24"/>
          <w:highlight w:val="none"/>
          <w:lang w:eastAsia="ru-RU"/>
        </w:rPr>
      </w:pPr>
      <w:r>
        <w:rPr>
          <w:rFonts w:ascii="Times New Roman" w:hAnsi="Times New Roman" w:eastAsia="Times New Roman"/>
          <w:color w:val="000000"/>
          <w:sz w:val="24"/>
          <w:szCs w:val="24"/>
          <w:lang w:eastAsia="ru-RU"/>
        </w:rPr>
        <w:t xml:space="preserve">Расход воды на наружное пожаротушение и количество одновременных пожаров принимается по таблице 1 СП 31.13330.2021. </w:t>
      </w:r>
      <w:r>
        <w:rPr>
          <w:rFonts w:ascii="Times New Roman" w:hAnsi="Times New Roman"/>
          <w:sz w:val="24"/>
          <w:szCs w:val="24"/>
        </w:rPr>
        <w:t>Расход воды на нужды планируемых объектов ка</w:t>
      </w:r>
      <w:r>
        <w:rPr>
          <w:rFonts w:ascii="Times New Roman" w:hAnsi="Times New Roman"/>
          <w:sz w:val="24"/>
          <w:szCs w:val="24"/>
          <w:highlight w:val="none"/>
        </w:rPr>
        <w:t xml:space="preserve">питального строительства на противопожарное водоснабжение представлен в таблице 1. </w:t>
      </w:r>
    </w:p>
    <w:p>
      <w:pPr>
        <w:spacing w:after="0" w:line="300" w:lineRule="auto"/>
        <w:contextualSpacing/>
        <w:jc w:val="right"/>
        <w:rPr>
          <w:rFonts w:ascii="Times New Roman" w:hAnsi="Times New Roman"/>
          <w:sz w:val="24"/>
          <w:szCs w:val="24"/>
          <w:highlight w:val="none"/>
        </w:rPr>
      </w:pPr>
      <w:r>
        <w:rPr>
          <w:rFonts w:ascii="Times New Roman" w:hAnsi="Times New Roman"/>
          <w:sz w:val="24"/>
          <w:szCs w:val="24"/>
          <w:highlight w:val="none"/>
        </w:rPr>
        <w:t>Таблица 1.</w:t>
      </w:r>
    </w:p>
    <w:p>
      <w:pPr>
        <w:spacing w:after="0" w:line="300" w:lineRule="auto"/>
        <w:contextualSpacing/>
        <w:jc w:val="center"/>
        <w:rPr>
          <w:rFonts w:ascii="Times New Roman" w:hAnsi="Times New Roman"/>
          <w:sz w:val="24"/>
          <w:szCs w:val="24"/>
          <w:highlight w:val="none"/>
        </w:rPr>
      </w:pPr>
      <w:r>
        <w:rPr>
          <w:rFonts w:ascii="Times New Roman" w:hAnsi="Times New Roman"/>
          <w:sz w:val="24"/>
          <w:szCs w:val="24"/>
          <w:highlight w:val="none"/>
        </w:rPr>
        <w:t>Расчет расходов воды на противопожарное водоснабжение на планируемой территории</w:t>
      </w:r>
    </w:p>
    <w:tbl>
      <w:tblPr>
        <w:tblStyle w:val="7"/>
        <w:tblW w:w="5000" w:type="pct"/>
        <w:tblInd w:w="0" w:type="dxa"/>
        <w:tblLayout w:type="autofit"/>
        <w:tblCellMar>
          <w:top w:w="0" w:type="dxa"/>
          <w:left w:w="28" w:type="dxa"/>
          <w:bottom w:w="0" w:type="dxa"/>
          <w:right w:w="28" w:type="dxa"/>
        </w:tblCellMar>
      </w:tblPr>
      <w:tblGrid>
        <w:gridCol w:w="2104"/>
        <w:gridCol w:w="1287"/>
        <w:gridCol w:w="1844"/>
        <w:gridCol w:w="1845"/>
        <w:gridCol w:w="1022"/>
        <w:gridCol w:w="1309"/>
      </w:tblGrid>
      <w:tr>
        <w:tblPrEx>
          <w:tblCellMar>
            <w:top w:w="0" w:type="dxa"/>
            <w:left w:w="28" w:type="dxa"/>
            <w:bottom w:w="0" w:type="dxa"/>
            <w:right w:w="28" w:type="dxa"/>
          </w:tblCellMar>
        </w:tblPrEx>
        <w:trPr>
          <w:trHeight w:val="586" w:hRule="atLeast"/>
          <w:tblHeader/>
        </w:trPr>
        <w:tc>
          <w:tcPr>
            <w:tcW w:w="988" w:type="pct"/>
            <w:vMerge w:val="restart"/>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Style w:val="66"/>
                <w:b/>
                <w:bCs/>
                <w:highlight w:val="none"/>
                <w:lang w:val="zh-CN" w:eastAsia="zh-CN"/>
              </w:rPr>
            </w:pPr>
            <w:r>
              <w:rPr>
                <w:rStyle w:val="66"/>
                <w:b/>
                <w:bCs/>
                <w:highlight w:val="none"/>
              </w:rPr>
              <w:t>Наименование</w:t>
            </w:r>
          </w:p>
        </w:tc>
        <w:tc>
          <w:tcPr>
            <w:tcW w:w="790" w:type="pct"/>
            <w:vMerge w:val="restart"/>
            <w:tcBorders>
              <w:top w:val="single" w:color="auto" w:sz="4" w:space="0"/>
              <w:left w:val="nil"/>
              <w:bottom w:val="single" w:color="auto" w:sz="4" w:space="0"/>
              <w:right w:val="single" w:color="000000" w:sz="4" w:space="0"/>
            </w:tcBorders>
            <w:vAlign w:val="center"/>
          </w:tcPr>
          <w:p>
            <w:pPr>
              <w:spacing w:after="0" w:line="240" w:lineRule="auto"/>
              <w:jc w:val="center"/>
              <w:rPr>
                <w:rStyle w:val="66"/>
                <w:b/>
                <w:bCs/>
                <w:highlight w:val="none"/>
              </w:rPr>
            </w:pPr>
            <w:r>
              <w:rPr>
                <w:rStyle w:val="66"/>
                <w:b/>
                <w:bCs/>
                <w:highlight w:val="none"/>
              </w:rPr>
              <w:t>Количество населения, чел.</w:t>
            </w:r>
          </w:p>
        </w:tc>
        <w:tc>
          <w:tcPr>
            <w:tcW w:w="1086" w:type="pct"/>
            <w:vMerge w:val="restart"/>
            <w:tcBorders>
              <w:top w:val="single" w:color="auto" w:sz="4" w:space="0"/>
              <w:left w:val="nil"/>
              <w:bottom w:val="single" w:color="auto" w:sz="4" w:space="0"/>
              <w:right w:val="single" w:color="auto" w:sz="4" w:space="0"/>
            </w:tcBorders>
            <w:vAlign w:val="center"/>
          </w:tcPr>
          <w:p>
            <w:pPr>
              <w:spacing w:after="0" w:line="240" w:lineRule="auto"/>
              <w:jc w:val="center"/>
              <w:rPr>
                <w:rStyle w:val="66"/>
                <w:b/>
                <w:bCs/>
                <w:highlight w:val="none"/>
              </w:rPr>
            </w:pPr>
            <w:r>
              <w:rPr>
                <w:rStyle w:val="66"/>
                <w:b/>
                <w:bCs/>
                <w:highlight w:val="none"/>
              </w:rPr>
              <w:t>Расход на наружное пожаротушение, л/с</w:t>
            </w:r>
          </w:p>
        </w:tc>
        <w:tc>
          <w:tcPr>
            <w:tcW w:w="1086" w:type="pct"/>
            <w:vMerge w:val="restart"/>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Style w:val="66"/>
                <w:b/>
                <w:bCs/>
                <w:highlight w:val="none"/>
              </w:rPr>
            </w:pPr>
            <w:r>
              <w:rPr>
                <w:rStyle w:val="66"/>
                <w:b/>
                <w:bCs/>
                <w:highlight w:val="none"/>
              </w:rPr>
              <w:t>Расход на внутреннее пожаротушение, л/с</w:t>
            </w:r>
          </w:p>
        </w:tc>
        <w:tc>
          <w:tcPr>
            <w:tcW w:w="488" w:type="pct"/>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Style w:val="66"/>
                <w:b/>
                <w:bCs/>
                <w:highlight w:val="none"/>
              </w:rPr>
            </w:pPr>
            <w:r>
              <w:rPr>
                <w:rStyle w:val="66"/>
                <w:b/>
                <w:bCs/>
                <w:highlight w:val="none"/>
              </w:rPr>
              <w:t>Общий расход</w:t>
            </w:r>
          </w:p>
        </w:tc>
        <w:tc>
          <w:tcPr>
            <w:tcW w:w="562" w:type="pct"/>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Style w:val="66"/>
                <w:b/>
                <w:bCs/>
                <w:highlight w:val="none"/>
              </w:rPr>
            </w:pPr>
            <w:r>
              <w:rPr>
                <w:rStyle w:val="66"/>
                <w:b/>
                <w:bCs/>
                <w:highlight w:val="none"/>
              </w:rPr>
              <w:t>Общий расход</w:t>
            </w:r>
          </w:p>
        </w:tc>
      </w:tr>
      <w:tr>
        <w:tblPrEx>
          <w:tblCellMar>
            <w:top w:w="0" w:type="dxa"/>
            <w:left w:w="28" w:type="dxa"/>
            <w:bottom w:w="0" w:type="dxa"/>
            <w:right w:w="28" w:type="dxa"/>
          </w:tblCellMar>
        </w:tblPrEx>
        <w:trPr>
          <w:trHeight w:val="184" w:hRule="atLeast"/>
          <w:tblHead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Style w:val="66"/>
                <w:b/>
                <w:bCs/>
                <w:highlight w:val="none"/>
                <w:lang w:val="zh-CN" w:eastAsia="zh-CN"/>
              </w:rPr>
            </w:pPr>
          </w:p>
        </w:tc>
        <w:tc>
          <w:tcPr>
            <w:tcW w:w="0" w:type="auto"/>
            <w:vMerge w:val="continue"/>
            <w:tcBorders>
              <w:top w:val="single" w:color="auto" w:sz="4" w:space="0"/>
              <w:left w:val="nil"/>
              <w:bottom w:val="single" w:color="auto" w:sz="4" w:space="0"/>
              <w:right w:val="single" w:color="000000" w:sz="4" w:space="0"/>
            </w:tcBorders>
            <w:vAlign w:val="center"/>
          </w:tcPr>
          <w:p>
            <w:pPr>
              <w:spacing w:after="0" w:line="256" w:lineRule="auto"/>
              <w:rPr>
                <w:rStyle w:val="66"/>
                <w:b/>
                <w:bCs/>
                <w:highlight w:val="none"/>
                <w:lang w:val="zh-CN" w:eastAsia="zh-CN"/>
              </w:rPr>
            </w:pPr>
          </w:p>
        </w:tc>
        <w:tc>
          <w:tcPr>
            <w:tcW w:w="0" w:type="auto"/>
            <w:vMerge w:val="continue"/>
            <w:tcBorders>
              <w:top w:val="single" w:color="auto" w:sz="4" w:space="0"/>
              <w:left w:val="nil"/>
              <w:bottom w:val="single" w:color="auto" w:sz="4" w:space="0"/>
              <w:right w:val="single" w:color="auto" w:sz="4" w:space="0"/>
            </w:tcBorders>
            <w:vAlign w:val="center"/>
          </w:tcPr>
          <w:p>
            <w:pPr>
              <w:spacing w:after="0" w:line="256" w:lineRule="auto"/>
              <w:rPr>
                <w:rStyle w:val="66"/>
                <w:b/>
                <w:bCs/>
                <w:highlight w:val="none"/>
                <w:lang w:val="zh-CN"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Style w:val="66"/>
                <w:b/>
                <w:bCs/>
                <w:highlight w:val="none"/>
                <w:lang w:val="zh-CN" w:eastAsia="zh-CN"/>
              </w:rPr>
            </w:pPr>
          </w:p>
        </w:tc>
        <w:tc>
          <w:tcPr>
            <w:tcW w:w="488" w:type="pct"/>
            <w:tcBorders>
              <w:top w:val="single" w:color="auto" w:sz="4" w:space="0"/>
              <w:left w:val="single" w:color="auto" w:sz="4" w:space="0"/>
              <w:bottom w:val="single" w:color="auto" w:sz="4" w:space="0"/>
              <w:right w:val="single" w:color="auto" w:sz="4" w:space="0"/>
            </w:tcBorders>
            <w:vAlign w:val="center"/>
          </w:tcPr>
          <w:p>
            <w:pPr>
              <w:spacing w:line="240" w:lineRule="auto"/>
              <w:jc w:val="center"/>
              <w:rPr>
                <w:rStyle w:val="66"/>
                <w:b/>
                <w:bCs/>
                <w:highlight w:val="none"/>
              </w:rPr>
            </w:pPr>
            <w:r>
              <w:rPr>
                <w:rStyle w:val="66"/>
                <w:b/>
                <w:bCs/>
                <w:highlight w:val="none"/>
              </w:rPr>
              <w:t>л/с</w:t>
            </w:r>
          </w:p>
        </w:tc>
        <w:tc>
          <w:tcPr>
            <w:tcW w:w="562" w:type="pct"/>
            <w:tcBorders>
              <w:top w:val="single" w:color="auto" w:sz="4" w:space="0"/>
              <w:left w:val="single" w:color="auto" w:sz="4" w:space="0"/>
              <w:bottom w:val="single" w:color="auto" w:sz="4" w:space="0"/>
              <w:right w:val="single" w:color="auto" w:sz="4" w:space="0"/>
            </w:tcBorders>
            <w:vAlign w:val="center"/>
          </w:tcPr>
          <w:p>
            <w:pPr>
              <w:spacing w:line="240" w:lineRule="auto"/>
              <w:jc w:val="center"/>
              <w:rPr>
                <w:rStyle w:val="66"/>
                <w:b/>
                <w:bCs/>
                <w:highlight w:val="none"/>
              </w:rPr>
            </w:pPr>
            <w:r>
              <w:rPr>
                <w:rStyle w:val="66"/>
                <w:b/>
                <w:bCs/>
                <w:highlight w:val="none"/>
              </w:rPr>
              <w:t>м</w:t>
            </w:r>
            <w:r>
              <w:rPr>
                <w:rStyle w:val="66"/>
                <w:b/>
                <w:bCs/>
                <w:highlight w:val="none"/>
                <w:vertAlign w:val="superscript"/>
              </w:rPr>
              <w:t>3</w:t>
            </w:r>
            <w:r>
              <w:rPr>
                <w:rStyle w:val="66"/>
                <w:b/>
                <w:bCs/>
                <w:highlight w:val="none"/>
              </w:rPr>
              <w:t>/сут</w:t>
            </w:r>
          </w:p>
        </w:tc>
      </w:tr>
      <w:tr>
        <w:tblPrEx>
          <w:tblCellMar>
            <w:top w:w="0" w:type="dxa"/>
            <w:left w:w="28" w:type="dxa"/>
            <w:bottom w:w="0" w:type="dxa"/>
            <w:right w:w="28" w:type="dxa"/>
          </w:tblCellMar>
        </w:tblPrEx>
        <w:trPr>
          <w:trHeight w:val="113" w:hRule="atLeast"/>
          <w:tblHeader/>
        </w:trPr>
        <w:tc>
          <w:tcPr>
            <w:tcW w:w="988" w:type="pct"/>
            <w:tcBorders>
              <w:top w:val="nil"/>
              <w:left w:val="single" w:color="auto" w:sz="4" w:space="0"/>
              <w:bottom w:val="single" w:color="auto" w:sz="4" w:space="0"/>
              <w:right w:val="single" w:color="auto" w:sz="4" w:space="0"/>
            </w:tcBorders>
            <w:vAlign w:val="center"/>
          </w:tcPr>
          <w:p>
            <w:pPr>
              <w:spacing w:after="0" w:line="240" w:lineRule="auto"/>
              <w:jc w:val="center"/>
              <w:rPr>
                <w:color w:val="000000"/>
                <w:highlight w:val="none"/>
              </w:rPr>
            </w:pPr>
            <w:r>
              <w:rPr>
                <w:rFonts w:ascii="Times New Roman" w:hAnsi="Times New Roman"/>
                <w:b/>
                <w:color w:val="000000"/>
                <w:sz w:val="20"/>
                <w:szCs w:val="20"/>
                <w:highlight w:val="none"/>
              </w:rPr>
              <w:t>1</w:t>
            </w:r>
          </w:p>
        </w:tc>
        <w:tc>
          <w:tcPr>
            <w:tcW w:w="790" w:type="pct"/>
            <w:tcBorders>
              <w:top w:val="nil"/>
              <w:left w:val="nil"/>
              <w:bottom w:val="single" w:color="auto" w:sz="4" w:space="0"/>
              <w:right w:val="single" w:color="000000" w:sz="4" w:space="0"/>
            </w:tcBorders>
            <w:vAlign w:val="center"/>
          </w:tcPr>
          <w:p>
            <w:pPr>
              <w:spacing w:after="0" w:line="240" w:lineRule="auto"/>
              <w:jc w:val="center"/>
              <w:rPr>
                <w:rFonts w:ascii="Times New Roman" w:hAnsi="Times New Roman"/>
                <w:b/>
                <w:color w:val="000000"/>
                <w:sz w:val="20"/>
                <w:szCs w:val="20"/>
                <w:highlight w:val="none"/>
              </w:rPr>
            </w:pPr>
            <w:r>
              <w:rPr>
                <w:rFonts w:ascii="Times New Roman" w:hAnsi="Times New Roman"/>
                <w:b/>
                <w:color w:val="000000"/>
                <w:sz w:val="20"/>
                <w:szCs w:val="20"/>
                <w:highlight w:val="none"/>
              </w:rPr>
              <w:t>2</w:t>
            </w:r>
          </w:p>
        </w:tc>
        <w:tc>
          <w:tcPr>
            <w:tcW w:w="1086" w:type="pct"/>
            <w:tcBorders>
              <w:top w:val="nil"/>
              <w:left w:val="single" w:color="000000" w:sz="4" w:space="0"/>
              <w:bottom w:val="single" w:color="auto" w:sz="4" w:space="0"/>
              <w:right w:val="single" w:color="auto" w:sz="4" w:space="0"/>
            </w:tcBorders>
            <w:vAlign w:val="center"/>
          </w:tcPr>
          <w:p>
            <w:pPr>
              <w:spacing w:after="0" w:line="240" w:lineRule="auto"/>
              <w:jc w:val="center"/>
              <w:rPr>
                <w:rFonts w:ascii="Times New Roman" w:hAnsi="Times New Roman"/>
                <w:b/>
                <w:color w:val="000000"/>
                <w:sz w:val="20"/>
                <w:szCs w:val="20"/>
                <w:highlight w:val="none"/>
              </w:rPr>
            </w:pPr>
            <w:r>
              <w:rPr>
                <w:rFonts w:ascii="Times New Roman" w:hAnsi="Times New Roman"/>
                <w:b/>
                <w:color w:val="000000"/>
                <w:sz w:val="20"/>
                <w:szCs w:val="20"/>
                <w:highlight w:val="none"/>
              </w:rPr>
              <w:t>3</w:t>
            </w:r>
          </w:p>
        </w:tc>
        <w:tc>
          <w:tcPr>
            <w:tcW w:w="1086" w:type="pct"/>
            <w:tcBorders>
              <w:top w:val="nil"/>
              <w:left w:val="single" w:color="auto" w:sz="4" w:space="0"/>
              <w:bottom w:val="single" w:color="auto" w:sz="4" w:space="0"/>
              <w:right w:val="single" w:color="auto" w:sz="4" w:space="0"/>
            </w:tcBorders>
          </w:tcPr>
          <w:p>
            <w:pPr>
              <w:spacing w:after="0" w:line="240" w:lineRule="auto"/>
              <w:jc w:val="center"/>
              <w:rPr>
                <w:rFonts w:ascii="Times New Roman" w:hAnsi="Times New Roman"/>
                <w:b/>
                <w:color w:val="000000"/>
                <w:sz w:val="20"/>
                <w:szCs w:val="20"/>
                <w:highlight w:val="none"/>
              </w:rPr>
            </w:pPr>
            <w:r>
              <w:rPr>
                <w:rFonts w:ascii="Times New Roman" w:hAnsi="Times New Roman"/>
                <w:b/>
                <w:color w:val="000000"/>
                <w:sz w:val="20"/>
                <w:szCs w:val="20"/>
                <w:highlight w:val="none"/>
              </w:rPr>
              <w:t>4</w:t>
            </w:r>
          </w:p>
        </w:tc>
        <w:tc>
          <w:tcPr>
            <w:tcW w:w="488" w:type="pct"/>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Times New Roman" w:hAnsi="Times New Roman"/>
                <w:b/>
                <w:color w:val="000000"/>
                <w:sz w:val="20"/>
                <w:szCs w:val="20"/>
                <w:highlight w:val="none"/>
              </w:rPr>
            </w:pPr>
            <w:r>
              <w:rPr>
                <w:rFonts w:ascii="Times New Roman" w:hAnsi="Times New Roman"/>
                <w:b/>
                <w:color w:val="000000"/>
                <w:sz w:val="20"/>
                <w:szCs w:val="20"/>
                <w:highlight w:val="none"/>
              </w:rPr>
              <w:t>5</w:t>
            </w:r>
          </w:p>
        </w:tc>
        <w:tc>
          <w:tcPr>
            <w:tcW w:w="562" w:type="pct"/>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Times New Roman" w:hAnsi="Times New Roman"/>
                <w:b/>
                <w:color w:val="000000"/>
                <w:sz w:val="20"/>
                <w:szCs w:val="20"/>
                <w:highlight w:val="none"/>
              </w:rPr>
            </w:pPr>
            <w:r>
              <w:rPr>
                <w:rFonts w:ascii="Times New Roman" w:hAnsi="Times New Roman"/>
                <w:b/>
                <w:color w:val="000000"/>
                <w:sz w:val="20"/>
                <w:szCs w:val="20"/>
                <w:highlight w:val="none"/>
              </w:rPr>
              <w:t>6</w:t>
            </w:r>
          </w:p>
        </w:tc>
      </w:tr>
      <w:tr>
        <w:tblPrEx>
          <w:tblCellMar>
            <w:top w:w="0" w:type="dxa"/>
            <w:left w:w="28" w:type="dxa"/>
            <w:bottom w:w="0" w:type="dxa"/>
            <w:right w:w="28" w:type="dxa"/>
          </w:tblCellMar>
        </w:tblPrEx>
        <w:trPr>
          <w:trHeight w:val="312" w:hRule="atLeast"/>
        </w:trPr>
        <w:tc>
          <w:tcPr>
            <w:tcW w:w="988" w:type="pct"/>
            <w:tcBorders>
              <w:top w:val="nil"/>
              <w:left w:val="single" w:color="auto" w:sz="4" w:space="0"/>
              <w:bottom w:val="single" w:color="auto" w:sz="4" w:space="0"/>
              <w:right w:val="single" w:color="auto" w:sz="4" w:space="0"/>
            </w:tcBorders>
            <w:vAlign w:val="center"/>
          </w:tcPr>
          <w:p>
            <w:pPr>
              <w:spacing w:after="0" w:line="240" w:lineRule="auto"/>
              <w:jc w:val="center"/>
              <w:rPr>
                <w:rFonts w:ascii="Times New Roman" w:hAnsi="Times New Roman"/>
                <w:color w:val="000000"/>
                <w:sz w:val="20"/>
                <w:szCs w:val="20"/>
                <w:highlight w:val="none"/>
              </w:rPr>
            </w:pPr>
            <w:r>
              <w:rPr>
                <w:rFonts w:ascii="Times New Roman" w:hAnsi="Times New Roman"/>
                <w:color w:val="000000"/>
                <w:sz w:val="20"/>
                <w:szCs w:val="20"/>
                <w:highlight w:val="none"/>
              </w:rPr>
              <w:t>Существующие объекты</w:t>
            </w:r>
          </w:p>
        </w:tc>
        <w:tc>
          <w:tcPr>
            <w:tcW w:w="790" w:type="pct"/>
            <w:tcBorders>
              <w:top w:val="nil"/>
              <w:left w:val="nil"/>
              <w:bottom w:val="single" w:color="auto" w:sz="4" w:space="0"/>
              <w:right w:val="single" w:color="auto" w:sz="4" w:space="0"/>
            </w:tcBorders>
            <w:vAlign w:val="center"/>
          </w:tcPr>
          <w:p>
            <w:pPr>
              <w:spacing w:after="0" w:line="240" w:lineRule="auto"/>
              <w:jc w:val="center"/>
              <w:rPr>
                <w:rFonts w:ascii="Times New Roman" w:hAnsi="Times New Roman"/>
                <w:color w:val="000000"/>
                <w:sz w:val="20"/>
                <w:szCs w:val="20"/>
                <w:highlight w:val="none"/>
              </w:rPr>
            </w:pPr>
            <w:r>
              <w:rPr>
                <w:rFonts w:ascii="Times New Roman" w:hAnsi="Times New Roman"/>
                <w:color w:val="000000"/>
                <w:sz w:val="20"/>
                <w:szCs w:val="20"/>
                <w:highlight w:val="none"/>
              </w:rPr>
              <w:t>186</w:t>
            </w:r>
          </w:p>
        </w:tc>
        <w:tc>
          <w:tcPr>
            <w:tcW w:w="1086" w:type="pct"/>
            <w:vMerge w:val="restart"/>
            <w:tcBorders>
              <w:top w:val="nil"/>
              <w:left w:val="nil"/>
              <w:right w:val="single" w:color="auto" w:sz="4" w:space="0"/>
            </w:tcBorders>
            <w:vAlign w:val="center"/>
          </w:tcPr>
          <w:p>
            <w:pPr>
              <w:spacing w:after="0" w:line="240" w:lineRule="auto"/>
              <w:jc w:val="center"/>
              <w:rPr>
                <w:rFonts w:ascii="Times New Roman" w:hAnsi="Times New Roman"/>
                <w:color w:val="000000"/>
                <w:sz w:val="20"/>
                <w:szCs w:val="20"/>
                <w:highlight w:val="none"/>
              </w:rPr>
            </w:pPr>
            <w:r>
              <w:rPr>
                <w:rFonts w:ascii="Times New Roman" w:hAnsi="Times New Roman"/>
                <w:color w:val="000000"/>
                <w:sz w:val="20"/>
                <w:szCs w:val="20"/>
                <w:highlight w:val="none"/>
              </w:rPr>
              <w:t>5</w:t>
            </w:r>
          </w:p>
        </w:tc>
        <w:tc>
          <w:tcPr>
            <w:tcW w:w="1086" w:type="pct"/>
            <w:vMerge w:val="restart"/>
            <w:tcBorders>
              <w:top w:val="single" w:color="auto" w:sz="4" w:space="0"/>
              <w:left w:val="nil"/>
              <w:right w:val="single" w:color="auto" w:sz="4" w:space="0"/>
            </w:tcBorders>
            <w:vAlign w:val="center"/>
          </w:tcPr>
          <w:p>
            <w:pPr>
              <w:spacing w:after="0" w:line="240" w:lineRule="auto"/>
              <w:jc w:val="center"/>
              <w:rPr>
                <w:rFonts w:ascii="Times New Roman" w:hAnsi="Times New Roman"/>
                <w:color w:val="000000"/>
                <w:sz w:val="20"/>
                <w:szCs w:val="20"/>
                <w:highlight w:val="none"/>
              </w:rPr>
            </w:pPr>
            <w:r>
              <w:rPr>
                <w:rFonts w:ascii="Times New Roman" w:hAnsi="Times New Roman"/>
                <w:color w:val="000000"/>
                <w:sz w:val="20"/>
                <w:szCs w:val="20"/>
                <w:highlight w:val="none"/>
              </w:rPr>
              <w:t>-</w:t>
            </w:r>
          </w:p>
        </w:tc>
        <w:tc>
          <w:tcPr>
            <w:tcW w:w="488" w:type="pct"/>
            <w:vMerge w:val="restart"/>
            <w:tcBorders>
              <w:top w:val="nil"/>
              <w:left w:val="single" w:color="auto" w:sz="4" w:space="0"/>
              <w:right w:val="single" w:color="auto" w:sz="4" w:space="0"/>
            </w:tcBorders>
            <w:vAlign w:val="center"/>
          </w:tcPr>
          <w:p>
            <w:pPr>
              <w:spacing w:after="0" w:line="240" w:lineRule="auto"/>
              <w:jc w:val="center"/>
              <w:rPr>
                <w:rFonts w:ascii="Times New Roman" w:hAnsi="Times New Roman"/>
                <w:color w:val="000000"/>
                <w:sz w:val="20"/>
                <w:szCs w:val="20"/>
                <w:highlight w:val="none"/>
              </w:rPr>
            </w:pPr>
            <w:r>
              <w:rPr>
                <w:rFonts w:ascii="Times New Roman" w:hAnsi="Times New Roman"/>
                <w:color w:val="000000"/>
                <w:sz w:val="20"/>
                <w:szCs w:val="20"/>
                <w:highlight w:val="none"/>
              </w:rPr>
              <w:t>5</w:t>
            </w:r>
          </w:p>
        </w:tc>
        <w:tc>
          <w:tcPr>
            <w:tcW w:w="562" w:type="pct"/>
            <w:vMerge w:val="restart"/>
            <w:tcBorders>
              <w:top w:val="nil"/>
              <w:left w:val="single" w:color="auto" w:sz="4" w:space="0"/>
              <w:right w:val="single" w:color="auto" w:sz="4" w:space="0"/>
            </w:tcBorders>
            <w:vAlign w:val="center"/>
          </w:tcPr>
          <w:p>
            <w:pPr>
              <w:spacing w:after="0" w:line="240" w:lineRule="auto"/>
              <w:jc w:val="center"/>
              <w:rPr>
                <w:rFonts w:ascii="Times New Roman" w:hAnsi="Times New Roman"/>
                <w:color w:val="000000"/>
                <w:sz w:val="20"/>
                <w:szCs w:val="20"/>
                <w:highlight w:val="none"/>
              </w:rPr>
            </w:pPr>
            <w:r>
              <w:rPr>
                <w:rFonts w:ascii="Times New Roman" w:hAnsi="Times New Roman"/>
                <w:color w:val="000000"/>
                <w:sz w:val="20"/>
                <w:szCs w:val="20"/>
                <w:highlight w:val="none"/>
              </w:rPr>
              <w:t>54</w:t>
            </w:r>
          </w:p>
        </w:tc>
      </w:tr>
      <w:tr>
        <w:tblPrEx>
          <w:tblCellMar>
            <w:top w:w="0" w:type="dxa"/>
            <w:left w:w="28" w:type="dxa"/>
            <w:bottom w:w="0" w:type="dxa"/>
            <w:right w:w="28" w:type="dxa"/>
          </w:tblCellMar>
        </w:tblPrEx>
        <w:trPr>
          <w:trHeight w:val="312" w:hRule="atLeast"/>
        </w:trPr>
        <w:tc>
          <w:tcPr>
            <w:tcW w:w="988" w:type="pct"/>
            <w:tcBorders>
              <w:top w:val="nil"/>
              <w:left w:val="single" w:color="auto" w:sz="4" w:space="0"/>
              <w:bottom w:val="single" w:color="auto" w:sz="4" w:space="0"/>
              <w:right w:val="single" w:color="auto" w:sz="4" w:space="0"/>
            </w:tcBorders>
            <w:vAlign w:val="center"/>
          </w:tcPr>
          <w:p>
            <w:pPr>
              <w:spacing w:after="0" w:line="240" w:lineRule="auto"/>
              <w:jc w:val="center"/>
              <w:rPr>
                <w:rFonts w:ascii="Times New Roman" w:hAnsi="Times New Roman"/>
                <w:color w:val="000000"/>
                <w:sz w:val="20"/>
                <w:szCs w:val="20"/>
                <w:highlight w:val="none"/>
              </w:rPr>
            </w:pPr>
            <w:r>
              <w:rPr>
                <w:rFonts w:ascii="Times New Roman" w:hAnsi="Times New Roman"/>
                <w:color w:val="000000"/>
                <w:sz w:val="20"/>
                <w:szCs w:val="20"/>
                <w:highlight w:val="none"/>
              </w:rPr>
              <w:t>Планируемые объекты</w:t>
            </w:r>
          </w:p>
        </w:tc>
        <w:tc>
          <w:tcPr>
            <w:tcW w:w="790" w:type="pct"/>
            <w:tcBorders>
              <w:top w:val="nil"/>
              <w:left w:val="nil"/>
              <w:bottom w:val="single" w:color="auto" w:sz="4" w:space="0"/>
              <w:right w:val="single" w:color="auto" w:sz="4" w:space="0"/>
            </w:tcBorders>
            <w:vAlign w:val="center"/>
          </w:tcPr>
          <w:p>
            <w:pPr>
              <w:spacing w:after="0" w:line="240" w:lineRule="auto"/>
              <w:jc w:val="center"/>
              <w:rPr>
                <w:rFonts w:ascii="Times New Roman" w:hAnsi="Times New Roman"/>
                <w:color w:val="000000"/>
                <w:sz w:val="20"/>
                <w:szCs w:val="20"/>
                <w:highlight w:val="none"/>
              </w:rPr>
            </w:pPr>
            <w:r>
              <w:rPr>
                <w:rFonts w:ascii="Times New Roman" w:hAnsi="Times New Roman"/>
                <w:color w:val="000000"/>
                <w:sz w:val="20"/>
                <w:szCs w:val="20"/>
                <w:highlight w:val="none"/>
              </w:rPr>
              <w:t>426</w:t>
            </w:r>
          </w:p>
        </w:tc>
        <w:tc>
          <w:tcPr>
            <w:tcW w:w="1086" w:type="pct"/>
            <w:vMerge w:val="continue"/>
            <w:tcBorders>
              <w:left w:val="nil"/>
              <w:bottom w:val="single" w:color="auto" w:sz="4" w:space="0"/>
              <w:right w:val="single" w:color="auto" w:sz="4" w:space="0"/>
            </w:tcBorders>
            <w:vAlign w:val="center"/>
          </w:tcPr>
          <w:p>
            <w:pPr>
              <w:spacing w:after="0" w:line="240" w:lineRule="auto"/>
              <w:jc w:val="center"/>
              <w:rPr>
                <w:rFonts w:ascii="Times New Roman" w:hAnsi="Times New Roman"/>
                <w:color w:val="000000"/>
                <w:sz w:val="20"/>
                <w:szCs w:val="20"/>
                <w:highlight w:val="none"/>
              </w:rPr>
            </w:pPr>
          </w:p>
        </w:tc>
        <w:tc>
          <w:tcPr>
            <w:tcW w:w="1086" w:type="pct"/>
            <w:vMerge w:val="continue"/>
            <w:tcBorders>
              <w:left w:val="nil"/>
              <w:bottom w:val="single" w:color="auto" w:sz="4" w:space="0"/>
              <w:right w:val="single" w:color="auto" w:sz="4" w:space="0"/>
            </w:tcBorders>
            <w:vAlign w:val="center"/>
          </w:tcPr>
          <w:p>
            <w:pPr>
              <w:spacing w:after="0" w:line="240" w:lineRule="auto"/>
              <w:jc w:val="center"/>
              <w:rPr>
                <w:rFonts w:ascii="Times New Roman" w:hAnsi="Times New Roman"/>
                <w:color w:val="000000"/>
                <w:sz w:val="20"/>
                <w:szCs w:val="20"/>
                <w:highlight w:val="none"/>
              </w:rPr>
            </w:pPr>
          </w:p>
        </w:tc>
        <w:tc>
          <w:tcPr>
            <w:tcW w:w="488" w:type="pct"/>
            <w:vMerge w:val="continue"/>
            <w:tcBorders>
              <w:left w:val="single" w:color="auto" w:sz="4" w:space="0"/>
              <w:bottom w:val="single" w:color="auto" w:sz="4" w:space="0"/>
              <w:right w:val="single" w:color="auto" w:sz="4" w:space="0"/>
            </w:tcBorders>
            <w:vAlign w:val="center"/>
          </w:tcPr>
          <w:p>
            <w:pPr>
              <w:spacing w:after="0" w:line="240" w:lineRule="auto"/>
              <w:jc w:val="center"/>
              <w:rPr>
                <w:rFonts w:ascii="Times New Roman" w:hAnsi="Times New Roman"/>
                <w:color w:val="000000"/>
                <w:sz w:val="20"/>
                <w:szCs w:val="20"/>
                <w:highlight w:val="none"/>
              </w:rPr>
            </w:pPr>
          </w:p>
        </w:tc>
        <w:tc>
          <w:tcPr>
            <w:tcW w:w="562" w:type="pct"/>
            <w:vMerge w:val="continue"/>
            <w:tcBorders>
              <w:left w:val="single" w:color="auto" w:sz="4" w:space="0"/>
              <w:bottom w:val="single" w:color="auto" w:sz="4" w:space="0"/>
              <w:right w:val="single" w:color="auto" w:sz="4" w:space="0"/>
            </w:tcBorders>
            <w:vAlign w:val="center"/>
          </w:tcPr>
          <w:p>
            <w:pPr>
              <w:spacing w:after="0" w:line="240" w:lineRule="auto"/>
              <w:jc w:val="center"/>
              <w:rPr>
                <w:rFonts w:ascii="Times New Roman" w:hAnsi="Times New Roman"/>
                <w:color w:val="000000"/>
                <w:sz w:val="20"/>
                <w:szCs w:val="20"/>
                <w:highlight w:val="none"/>
              </w:rPr>
            </w:pPr>
          </w:p>
        </w:tc>
      </w:tr>
    </w:tbl>
    <w:p>
      <w:pPr>
        <w:spacing w:after="0" w:line="300" w:lineRule="auto"/>
        <w:contextualSpacing/>
        <w:jc w:val="center"/>
        <w:rPr>
          <w:rFonts w:ascii="Times New Roman" w:hAnsi="Times New Roman"/>
          <w:sz w:val="24"/>
          <w:szCs w:val="24"/>
          <w:highlight w:val="none"/>
        </w:rPr>
      </w:pPr>
    </w:p>
    <w:p>
      <w:pPr>
        <w:spacing w:before="120" w:after="0" w:line="300" w:lineRule="auto"/>
        <w:ind w:firstLine="709"/>
        <w:contextualSpacing/>
        <w:jc w:val="both"/>
        <w:rPr>
          <w:rFonts w:ascii="Times New Roman" w:hAnsi="Times New Roman" w:eastAsia="Times New Roman"/>
          <w:sz w:val="24"/>
          <w:szCs w:val="24"/>
          <w:highlight w:val="none"/>
          <w:lang w:eastAsia="ru-RU"/>
        </w:rPr>
      </w:pPr>
      <w:r>
        <w:rPr>
          <w:rFonts w:ascii="Times New Roman" w:hAnsi="Times New Roman" w:eastAsia="Times New Roman"/>
          <w:sz w:val="24"/>
          <w:szCs w:val="24"/>
          <w:highlight w:val="none"/>
          <w:lang w:eastAsia="ru-RU"/>
        </w:rPr>
        <w:t>Общий расход воды на наружное и внутреннее пожаротушение в течение трех часов составит 54 м</w:t>
      </w:r>
      <w:r>
        <w:rPr>
          <w:rFonts w:ascii="Times New Roman" w:hAnsi="Times New Roman" w:eastAsia="Times New Roman"/>
          <w:sz w:val="24"/>
          <w:szCs w:val="24"/>
          <w:highlight w:val="none"/>
          <w:vertAlign w:val="superscript"/>
          <w:lang w:eastAsia="ru-RU"/>
        </w:rPr>
        <w:t>3</w:t>
      </w:r>
      <w:r>
        <w:rPr>
          <w:rFonts w:ascii="Times New Roman" w:hAnsi="Times New Roman" w:eastAsia="Times New Roman"/>
          <w:sz w:val="24"/>
          <w:szCs w:val="24"/>
          <w:highlight w:val="none"/>
          <w:lang w:eastAsia="ru-RU"/>
        </w:rPr>
        <w:t>/сут.</w:t>
      </w:r>
    </w:p>
    <w:p>
      <w:pPr>
        <w:pStyle w:val="14"/>
        <w:spacing w:after="0" w:line="300" w:lineRule="auto"/>
        <w:ind w:right="-1" w:firstLine="709"/>
        <w:contextualSpacing/>
        <w:rPr>
          <w:rFonts w:eastAsia="Times New Roman"/>
          <w:bCs w:val="0"/>
          <w:color w:val="000000"/>
          <w:szCs w:val="24"/>
          <w:highlight w:val="none"/>
          <w:lang w:val="ru-RU" w:eastAsia="ru-RU"/>
        </w:rPr>
      </w:pPr>
      <w:r>
        <w:rPr>
          <w:rFonts w:eastAsia="Times New Roman"/>
          <w:bCs w:val="0"/>
          <w:color w:val="000000"/>
          <w:szCs w:val="24"/>
          <w:highlight w:val="none"/>
          <w:lang w:val="ru-RU" w:eastAsia="ru-RU"/>
        </w:rPr>
        <w:t>Расчетные расходы приняты в соответствии со СП 31.13330.2021 «Свод правил. Водоснабжение. Наружные сети и сооружения. Актуализированная редакция СНиП 2.04.02-84», СП 30.13330.2020 «Свод правил. Внутренний водопровод и канализация зданий. Актуализированная редакция СНиП 2.04.01-85*», таблица А3. Результаты расчетов приведены ниже в таблице 2. Неучтенные расходы принимаются дополнительно в размере 5 % суммарного расхода воды на хозяйственно-питьевые нужды.</w:t>
      </w:r>
    </w:p>
    <w:p>
      <w:pPr>
        <w:pStyle w:val="10"/>
        <w:spacing w:before="0" w:after="0" w:line="300" w:lineRule="auto"/>
        <w:contextualSpacing/>
        <w:jc w:val="right"/>
        <w:rPr>
          <w:b w:val="0"/>
          <w:bCs w:val="0"/>
          <w:sz w:val="24"/>
          <w:szCs w:val="24"/>
          <w:highlight w:val="none"/>
        </w:rPr>
      </w:pPr>
      <w:r>
        <w:rPr>
          <w:b w:val="0"/>
          <w:bCs w:val="0"/>
          <w:sz w:val="24"/>
          <w:szCs w:val="24"/>
          <w:highlight w:val="none"/>
        </w:rPr>
        <w:t xml:space="preserve">Таблица 2. </w:t>
      </w:r>
    </w:p>
    <w:p>
      <w:pPr>
        <w:pStyle w:val="10"/>
        <w:spacing w:before="0" w:after="0" w:line="300" w:lineRule="auto"/>
        <w:contextualSpacing/>
        <w:rPr>
          <w:b w:val="0"/>
          <w:sz w:val="24"/>
          <w:szCs w:val="24"/>
          <w:highlight w:val="none"/>
        </w:rPr>
      </w:pPr>
      <w:r>
        <w:rPr>
          <w:b w:val="0"/>
          <w:bCs w:val="0"/>
          <w:sz w:val="24"/>
          <w:szCs w:val="24"/>
          <w:highlight w:val="none"/>
        </w:rPr>
        <w:t xml:space="preserve">Расчет </w:t>
      </w:r>
      <w:r>
        <w:rPr>
          <w:b w:val="0"/>
          <w:sz w:val="24"/>
          <w:szCs w:val="24"/>
          <w:highlight w:val="none"/>
        </w:rPr>
        <w:t xml:space="preserve">водопотребления </w:t>
      </w:r>
      <w:r>
        <w:rPr>
          <w:b w:val="0"/>
          <w:bCs w:val="0"/>
          <w:sz w:val="24"/>
          <w:szCs w:val="24"/>
          <w:highlight w:val="none"/>
        </w:rPr>
        <w:t xml:space="preserve">и </w:t>
      </w:r>
      <w:r>
        <w:rPr>
          <w:b w:val="0"/>
          <w:sz w:val="24"/>
          <w:szCs w:val="24"/>
          <w:highlight w:val="none"/>
        </w:rPr>
        <w:t>водоотведения существующих и проектируемых объектов</w:t>
      </w:r>
    </w:p>
    <w:tbl>
      <w:tblPr>
        <w:tblStyle w:val="7"/>
        <w:tblW w:w="5000" w:type="pct"/>
        <w:jc w:val="center"/>
        <w:tblLayout w:type="autofit"/>
        <w:tblCellMar>
          <w:top w:w="0" w:type="dxa"/>
          <w:left w:w="0" w:type="dxa"/>
          <w:bottom w:w="0" w:type="dxa"/>
          <w:right w:w="0" w:type="dxa"/>
        </w:tblCellMar>
      </w:tblPr>
      <w:tblGrid>
        <w:gridCol w:w="365"/>
        <w:gridCol w:w="2394"/>
        <w:gridCol w:w="1195"/>
        <w:gridCol w:w="1322"/>
        <w:gridCol w:w="1815"/>
        <w:gridCol w:w="1156"/>
        <w:gridCol w:w="1118"/>
      </w:tblGrid>
      <w:tr>
        <w:tblPrEx>
          <w:tblCellMar>
            <w:top w:w="0" w:type="dxa"/>
            <w:left w:w="0" w:type="dxa"/>
            <w:bottom w:w="0" w:type="dxa"/>
            <w:right w:w="0" w:type="dxa"/>
          </w:tblCellMar>
        </w:tblPrEx>
        <w:trPr>
          <w:cantSplit/>
          <w:trHeight w:val="1943" w:hRule="exact"/>
          <w:tblHeader/>
          <w:jc w:val="center"/>
        </w:trPr>
        <w:tc>
          <w:tcPr>
            <w:tcW w:w="195" w:type="pct"/>
            <w:tcBorders>
              <w:top w:val="single" w:color="auto" w:sz="4" w:space="0"/>
              <w:left w:val="single" w:color="auto" w:sz="4" w:space="0"/>
              <w:bottom w:val="nil"/>
              <w:right w:val="nil"/>
            </w:tcBorders>
            <w:shd w:val="clear" w:color="auto" w:fill="FFFFFF"/>
            <w:textDirection w:val="btLr"/>
            <w:vAlign w:val="center"/>
          </w:tcPr>
          <w:p>
            <w:pPr>
              <w:pStyle w:val="14"/>
              <w:spacing w:after="0" w:line="240" w:lineRule="auto"/>
              <w:ind w:left="113" w:right="113"/>
              <w:jc w:val="center"/>
              <w:rPr>
                <w:b/>
                <w:sz w:val="20"/>
                <w:highlight w:val="none"/>
              </w:rPr>
            </w:pPr>
            <w:r>
              <w:rPr>
                <w:b/>
                <w:sz w:val="20"/>
                <w:highlight w:val="none"/>
              </w:rPr>
              <w:t xml:space="preserve">№ </w:t>
            </w:r>
          </w:p>
        </w:tc>
        <w:tc>
          <w:tcPr>
            <w:tcW w:w="1278" w:type="pct"/>
            <w:tcBorders>
              <w:top w:val="single" w:color="auto" w:sz="4" w:space="0"/>
              <w:left w:val="single" w:color="auto" w:sz="4" w:space="0"/>
              <w:bottom w:val="nil"/>
              <w:right w:val="nil"/>
            </w:tcBorders>
            <w:shd w:val="clear" w:color="auto" w:fill="FFFFFF"/>
            <w:vAlign w:val="center"/>
          </w:tcPr>
          <w:p>
            <w:pPr>
              <w:pStyle w:val="14"/>
              <w:spacing w:after="0" w:line="240" w:lineRule="auto"/>
              <w:jc w:val="center"/>
              <w:rPr>
                <w:b/>
                <w:sz w:val="20"/>
                <w:highlight w:val="none"/>
              </w:rPr>
            </w:pPr>
            <w:r>
              <w:rPr>
                <w:rStyle w:val="66"/>
                <w:b/>
                <w:highlight w:val="none"/>
              </w:rPr>
              <w:t>Наименование водопотребителя</w:t>
            </w:r>
          </w:p>
        </w:tc>
        <w:tc>
          <w:tcPr>
            <w:tcW w:w="638" w:type="pct"/>
            <w:tcBorders>
              <w:top w:val="single" w:color="auto" w:sz="4" w:space="0"/>
              <w:left w:val="single" w:color="auto" w:sz="4" w:space="0"/>
              <w:bottom w:val="nil"/>
              <w:right w:val="single" w:color="auto" w:sz="4" w:space="0"/>
            </w:tcBorders>
            <w:shd w:val="clear" w:color="auto" w:fill="FFFFFF"/>
            <w:vAlign w:val="center"/>
          </w:tcPr>
          <w:p>
            <w:pPr>
              <w:pStyle w:val="14"/>
              <w:spacing w:after="0" w:line="240" w:lineRule="auto"/>
              <w:jc w:val="center"/>
              <w:rPr>
                <w:rStyle w:val="66"/>
                <w:b/>
                <w:highlight w:val="none"/>
                <w:lang w:val="ru-RU"/>
              </w:rPr>
            </w:pPr>
            <w:r>
              <w:rPr>
                <w:rStyle w:val="66"/>
                <w:b/>
                <w:highlight w:val="none"/>
                <w:lang w:val="ru-RU"/>
              </w:rPr>
              <w:t>Единица измерения</w:t>
            </w:r>
          </w:p>
        </w:tc>
        <w:tc>
          <w:tcPr>
            <w:tcW w:w="706" w:type="pct"/>
            <w:tcBorders>
              <w:top w:val="single" w:color="auto" w:sz="4" w:space="0"/>
              <w:left w:val="single" w:color="auto" w:sz="4" w:space="0"/>
              <w:bottom w:val="nil"/>
              <w:right w:val="nil"/>
            </w:tcBorders>
            <w:shd w:val="clear" w:color="auto" w:fill="FFFFFF"/>
            <w:vAlign w:val="center"/>
          </w:tcPr>
          <w:p>
            <w:pPr>
              <w:pStyle w:val="14"/>
              <w:spacing w:after="0" w:line="240" w:lineRule="auto"/>
              <w:jc w:val="center"/>
              <w:rPr>
                <w:b/>
                <w:sz w:val="20"/>
                <w:highlight w:val="none"/>
              </w:rPr>
            </w:pPr>
            <w:r>
              <w:rPr>
                <w:rStyle w:val="66"/>
                <w:b/>
                <w:highlight w:val="none"/>
              </w:rPr>
              <w:t>Количество населения, чел.</w:t>
            </w:r>
          </w:p>
        </w:tc>
        <w:tc>
          <w:tcPr>
            <w:tcW w:w="969" w:type="pct"/>
            <w:tcBorders>
              <w:top w:val="single" w:color="auto" w:sz="4" w:space="0"/>
              <w:left w:val="single" w:color="auto" w:sz="4" w:space="0"/>
              <w:bottom w:val="nil"/>
              <w:right w:val="nil"/>
            </w:tcBorders>
            <w:shd w:val="clear" w:color="auto" w:fill="FFFFFF"/>
            <w:vAlign w:val="center"/>
          </w:tcPr>
          <w:p>
            <w:pPr>
              <w:pStyle w:val="14"/>
              <w:spacing w:after="0" w:line="240" w:lineRule="auto"/>
              <w:ind w:left="57"/>
              <w:jc w:val="center"/>
              <w:rPr>
                <w:b/>
                <w:sz w:val="20"/>
                <w:highlight w:val="none"/>
              </w:rPr>
            </w:pPr>
            <w:r>
              <w:rPr>
                <w:rStyle w:val="66"/>
                <w:b/>
                <w:highlight w:val="none"/>
              </w:rPr>
              <w:t>Норма водопотребления, л/сут</w:t>
            </w:r>
          </w:p>
        </w:tc>
        <w:tc>
          <w:tcPr>
            <w:tcW w:w="617" w:type="pct"/>
            <w:tcBorders>
              <w:top w:val="single" w:color="auto" w:sz="4" w:space="0"/>
              <w:left w:val="single" w:color="auto" w:sz="4" w:space="0"/>
              <w:bottom w:val="nil"/>
              <w:right w:val="nil"/>
            </w:tcBorders>
            <w:shd w:val="clear" w:color="auto" w:fill="FFFFFF"/>
            <w:vAlign w:val="center"/>
          </w:tcPr>
          <w:p>
            <w:pPr>
              <w:pStyle w:val="14"/>
              <w:spacing w:after="0" w:line="240" w:lineRule="auto"/>
              <w:jc w:val="center"/>
              <w:rPr>
                <w:b/>
                <w:sz w:val="20"/>
                <w:highlight w:val="none"/>
              </w:rPr>
            </w:pPr>
            <w:r>
              <w:rPr>
                <w:rStyle w:val="66"/>
                <w:b/>
                <w:highlight w:val="none"/>
              </w:rPr>
              <w:t>Общий расход воды</w:t>
            </w:r>
            <w:r>
              <w:rPr>
                <w:rStyle w:val="66"/>
                <w:b/>
                <w:highlight w:val="none"/>
                <w:lang w:val="ru-RU"/>
              </w:rPr>
              <w:t>,</w:t>
            </w:r>
            <w:r>
              <w:rPr>
                <w:rStyle w:val="66"/>
                <w:b/>
                <w:highlight w:val="none"/>
              </w:rPr>
              <w:t xml:space="preserve"> м</w:t>
            </w:r>
            <w:r>
              <w:rPr>
                <w:rStyle w:val="66"/>
                <w:b/>
                <w:highlight w:val="none"/>
                <w:vertAlign w:val="superscript"/>
              </w:rPr>
              <w:t>3</w:t>
            </w:r>
            <w:r>
              <w:rPr>
                <w:rStyle w:val="66"/>
                <w:b/>
                <w:highlight w:val="none"/>
              </w:rPr>
              <w:t>/сут</w:t>
            </w:r>
          </w:p>
        </w:tc>
        <w:tc>
          <w:tcPr>
            <w:tcW w:w="597" w:type="pct"/>
            <w:tcBorders>
              <w:top w:val="single" w:color="auto" w:sz="4" w:space="0"/>
              <w:left w:val="single" w:color="auto" w:sz="4" w:space="0"/>
              <w:bottom w:val="nil"/>
              <w:right w:val="single" w:color="auto" w:sz="4" w:space="0"/>
            </w:tcBorders>
            <w:shd w:val="clear" w:color="auto" w:fill="FFFFFF"/>
            <w:vAlign w:val="center"/>
          </w:tcPr>
          <w:p>
            <w:pPr>
              <w:pStyle w:val="14"/>
              <w:spacing w:after="0" w:line="240" w:lineRule="auto"/>
              <w:jc w:val="center"/>
              <w:rPr>
                <w:b/>
                <w:sz w:val="20"/>
                <w:highlight w:val="none"/>
              </w:rPr>
            </w:pPr>
            <w:r>
              <w:rPr>
                <w:rStyle w:val="66"/>
                <w:b/>
                <w:highlight w:val="none"/>
              </w:rPr>
              <w:t>Бытовые стоки, м</w:t>
            </w:r>
            <w:r>
              <w:rPr>
                <w:rStyle w:val="66"/>
                <w:b/>
                <w:highlight w:val="none"/>
                <w:vertAlign w:val="superscript"/>
              </w:rPr>
              <w:t>3</w:t>
            </w:r>
            <w:r>
              <w:rPr>
                <w:rStyle w:val="66"/>
                <w:b/>
                <w:highlight w:val="none"/>
              </w:rPr>
              <w:t>/сут</w:t>
            </w:r>
          </w:p>
        </w:tc>
      </w:tr>
    </w:tbl>
    <w:p>
      <w:pPr>
        <w:spacing w:after="0" w:line="14" w:lineRule="auto"/>
        <w:rPr>
          <w:highlight w:val="none"/>
          <w:lang w:eastAsia="ru-RU"/>
        </w:rPr>
      </w:pPr>
    </w:p>
    <w:p>
      <w:pPr>
        <w:spacing w:after="0" w:line="14" w:lineRule="auto"/>
        <w:rPr>
          <w:highlight w:val="none"/>
          <w:lang w:eastAsia="ru-RU"/>
        </w:rPr>
      </w:pPr>
    </w:p>
    <w:tbl>
      <w:tblPr>
        <w:tblStyle w:val="7"/>
        <w:tblW w:w="5000" w:type="pct"/>
        <w:jc w:val="center"/>
        <w:tblLayout w:type="autofit"/>
        <w:tblCellMar>
          <w:top w:w="0" w:type="dxa"/>
          <w:left w:w="0" w:type="dxa"/>
          <w:bottom w:w="0" w:type="dxa"/>
          <w:right w:w="0" w:type="dxa"/>
        </w:tblCellMar>
      </w:tblPr>
      <w:tblGrid>
        <w:gridCol w:w="819"/>
        <w:gridCol w:w="2398"/>
        <w:gridCol w:w="1493"/>
        <w:gridCol w:w="1076"/>
        <w:gridCol w:w="1041"/>
        <w:gridCol w:w="1269"/>
        <w:gridCol w:w="1269"/>
      </w:tblGrid>
      <w:tr>
        <w:tblPrEx>
          <w:tblCellMar>
            <w:top w:w="0" w:type="dxa"/>
            <w:left w:w="0" w:type="dxa"/>
            <w:bottom w:w="0" w:type="dxa"/>
            <w:right w:w="0" w:type="dxa"/>
          </w:tblCellMar>
        </w:tblPrEx>
        <w:trPr>
          <w:trHeight w:val="20" w:hRule="atLeast"/>
          <w:tblHeader/>
          <w:jc w:val="center"/>
        </w:trPr>
        <w:tc>
          <w:tcPr>
            <w:tcW w:w="196" w:type="pct"/>
            <w:tcBorders>
              <w:top w:val="single" w:color="auto" w:sz="4" w:space="0"/>
              <w:left w:val="single" w:color="auto" w:sz="4" w:space="0"/>
              <w:bottom w:val="nil"/>
              <w:right w:val="nil"/>
            </w:tcBorders>
            <w:shd w:val="clear" w:color="auto" w:fill="FFFFFF"/>
            <w:vAlign w:val="center"/>
          </w:tcPr>
          <w:p>
            <w:pPr>
              <w:pStyle w:val="14"/>
              <w:spacing w:after="0" w:line="240" w:lineRule="auto"/>
              <w:jc w:val="center"/>
              <w:rPr>
                <w:b/>
                <w:sz w:val="20"/>
                <w:highlight w:val="none"/>
                <w:lang w:val="ru-RU"/>
              </w:rPr>
            </w:pPr>
            <w:r>
              <w:rPr>
                <w:b/>
                <w:sz w:val="20"/>
                <w:highlight w:val="none"/>
                <w:lang w:val="ru-RU"/>
              </w:rPr>
              <w:t>1</w:t>
            </w:r>
          </w:p>
        </w:tc>
        <w:tc>
          <w:tcPr>
            <w:tcW w:w="1279" w:type="pct"/>
            <w:tcBorders>
              <w:top w:val="single" w:color="auto" w:sz="4" w:space="0"/>
              <w:left w:val="single" w:color="auto" w:sz="4" w:space="0"/>
              <w:bottom w:val="nil"/>
              <w:right w:val="nil"/>
            </w:tcBorders>
            <w:shd w:val="clear" w:color="auto" w:fill="FFFFFF"/>
            <w:vAlign w:val="center"/>
          </w:tcPr>
          <w:p>
            <w:pPr>
              <w:pStyle w:val="14"/>
              <w:spacing w:after="0" w:line="240" w:lineRule="auto"/>
              <w:jc w:val="center"/>
              <w:rPr>
                <w:b/>
                <w:sz w:val="20"/>
                <w:highlight w:val="none"/>
                <w:lang w:val="ru-RU"/>
              </w:rPr>
            </w:pPr>
            <w:r>
              <w:rPr>
                <w:b/>
                <w:sz w:val="20"/>
                <w:highlight w:val="none"/>
                <w:lang w:val="ru-RU"/>
              </w:rPr>
              <w:t>2</w:t>
            </w:r>
          </w:p>
        </w:tc>
        <w:tc>
          <w:tcPr>
            <w:tcW w:w="648" w:type="pct"/>
            <w:tcBorders>
              <w:top w:val="single" w:color="auto" w:sz="4" w:space="0"/>
              <w:left w:val="single" w:color="auto" w:sz="4" w:space="0"/>
              <w:bottom w:val="nil"/>
              <w:right w:val="single" w:color="auto" w:sz="4" w:space="0"/>
            </w:tcBorders>
            <w:shd w:val="clear" w:color="auto" w:fill="FFFFFF"/>
          </w:tcPr>
          <w:p>
            <w:pPr>
              <w:pStyle w:val="14"/>
              <w:spacing w:after="0" w:line="240" w:lineRule="auto"/>
              <w:jc w:val="center"/>
              <w:rPr>
                <w:b/>
                <w:sz w:val="20"/>
                <w:highlight w:val="none"/>
                <w:lang w:val="ru-RU"/>
              </w:rPr>
            </w:pPr>
            <w:r>
              <w:rPr>
                <w:b/>
                <w:sz w:val="20"/>
                <w:highlight w:val="none"/>
                <w:lang w:val="ru-RU"/>
              </w:rPr>
              <w:t>3</w:t>
            </w:r>
          </w:p>
        </w:tc>
        <w:tc>
          <w:tcPr>
            <w:tcW w:w="703" w:type="pct"/>
            <w:tcBorders>
              <w:top w:val="single" w:color="auto" w:sz="4" w:space="0"/>
              <w:left w:val="single" w:color="auto" w:sz="4" w:space="0"/>
              <w:bottom w:val="nil"/>
              <w:right w:val="nil"/>
            </w:tcBorders>
            <w:shd w:val="clear" w:color="auto" w:fill="FFFFFF"/>
            <w:vAlign w:val="center"/>
          </w:tcPr>
          <w:p>
            <w:pPr>
              <w:pStyle w:val="14"/>
              <w:spacing w:after="0" w:line="240" w:lineRule="auto"/>
              <w:jc w:val="center"/>
              <w:rPr>
                <w:b/>
                <w:sz w:val="20"/>
                <w:highlight w:val="none"/>
                <w:lang w:val="ru-RU"/>
              </w:rPr>
            </w:pPr>
            <w:r>
              <w:rPr>
                <w:b/>
                <w:sz w:val="20"/>
                <w:highlight w:val="none"/>
                <w:lang w:val="ru-RU"/>
              </w:rPr>
              <w:t>4</w:t>
            </w:r>
          </w:p>
        </w:tc>
        <w:tc>
          <w:tcPr>
            <w:tcW w:w="967" w:type="pct"/>
            <w:tcBorders>
              <w:top w:val="single" w:color="auto" w:sz="4" w:space="0"/>
              <w:left w:val="single" w:color="auto" w:sz="4" w:space="0"/>
              <w:bottom w:val="nil"/>
              <w:right w:val="nil"/>
            </w:tcBorders>
            <w:shd w:val="clear" w:color="auto" w:fill="FFFFFF"/>
            <w:vAlign w:val="center"/>
          </w:tcPr>
          <w:p>
            <w:pPr>
              <w:pStyle w:val="14"/>
              <w:spacing w:after="0" w:line="240" w:lineRule="auto"/>
              <w:ind w:left="57"/>
              <w:jc w:val="center"/>
              <w:rPr>
                <w:b/>
                <w:sz w:val="20"/>
                <w:highlight w:val="none"/>
                <w:lang w:val="ru-RU"/>
              </w:rPr>
            </w:pPr>
            <w:r>
              <w:rPr>
                <w:b/>
                <w:sz w:val="20"/>
                <w:highlight w:val="none"/>
                <w:lang w:val="ru-RU"/>
              </w:rPr>
              <w:t>5</w:t>
            </w:r>
          </w:p>
        </w:tc>
        <w:tc>
          <w:tcPr>
            <w:tcW w:w="615" w:type="pct"/>
            <w:tcBorders>
              <w:top w:val="single" w:color="auto" w:sz="4" w:space="0"/>
              <w:left w:val="single" w:color="auto" w:sz="4" w:space="0"/>
              <w:bottom w:val="nil"/>
              <w:right w:val="nil"/>
            </w:tcBorders>
            <w:shd w:val="clear" w:color="auto" w:fill="FFFFFF"/>
            <w:vAlign w:val="center"/>
          </w:tcPr>
          <w:p>
            <w:pPr>
              <w:pStyle w:val="14"/>
              <w:spacing w:after="0" w:line="240" w:lineRule="auto"/>
              <w:jc w:val="center"/>
              <w:rPr>
                <w:b/>
                <w:sz w:val="20"/>
                <w:highlight w:val="none"/>
                <w:lang w:val="ru-RU"/>
              </w:rPr>
            </w:pPr>
            <w:r>
              <w:rPr>
                <w:b/>
                <w:sz w:val="20"/>
                <w:highlight w:val="none"/>
                <w:lang w:val="ru-RU"/>
              </w:rPr>
              <w:t>6</w:t>
            </w:r>
          </w:p>
        </w:tc>
        <w:tc>
          <w:tcPr>
            <w:tcW w:w="592" w:type="pct"/>
            <w:tcBorders>
              <w:top w:val="single" w:color="auto" w:sz="4" w:space="0"/>
              <w:left w:val="single" w:color="auto" w:sz="4" w:space="0"/>
              <w:bottom w:val="nil"/>
              <w:right w:val="single" w:color="auto" w:sz="4" w:space="0"/>
            </w:tcBorders>
            <w:shd w:val="clear" w:color="auto" w:fill="FFFFFF"/>
            <w:vAlign w:val="center"/>
          </w:tcPr>
          <w:p>
            <w:pPr>
              <w:pStyle w:val="14"/>
              <w:spacing w:after="0" w:line="240" w:lineRule="auto"/>
              <w:jc w:val="center"/>
              <w:rPr>
                <w:b/>
                <w:sz w:val="20"/>
                <w:highlight w:val="none"/>
                <w:lang w:val="ru-RU"/>
              </w:rPr>
            </w:pPr>
            <w:r>
              <w:rPr>
                <w:b/>
                <w:sz w:val="20"/>
                <w:highlight w:val="none"/>
                <w:lang w:val="ru-RU"/>
              </w:rPr>
              <w:t>8</w:t>
            </w:r>
          </w:p>
        </w:tc>
      </w:tr>
      <w:tr>
        <w:tblPrEx>
          <w:tblCellMar>
            <w:top w:w="0" w:type="dxa"/>
            <w:left w:w="0" w:type="dxa"/>
            <w:bottom w:w="0" w:type="dxa"/>
            <w:right w:w="0" w:type="dxa"/>
          </w:tblCellMar>
        </w:tblPrEx>
        <w:trPr>
          <w:trHeight w:val="20" w:hRule="atLeast"/>
          <w:jc w:val="center"/>
        </w:trPr>
        <w:tc>
          <w:tcPr>
            <w:tcW w:w="196" w:type="pct"/>
            <w:tcBorders>
              <w:top w:val="single" w:color="auto" w:sz="4" w:space="0"/>
              <w:left w:val="single" w:color="auto" w:sz="4" w:space="0"/>
              <w:bottom w:val="nil"/>
              <w:right w:val="nil"/>
            </w:tcBorders>
            <w:shd w:val="clear" w:color="auto" w:fill="FFFFFF"/>
          </w:tcPr>
          <w:p>
            <w:pPr>
              <w:spacing w:after="0" w:line="240" w:lineRule="auto"/>
              <w:jc w:val="center"/>
              <w:rPr>
                <w:rFonts w:ascii="Times New Roman" w:hAnsi="Times New Roman"/>
                <w:color w:val="000000"/>
                <w:sz w:val="20"/>
                <w:szCs w:val="20"/>
                <w:highlight w:val="none"/>
                <w:lang w:eastAsia="ru-RU"/>
              </w:rPr>
            </w:pPr>
            <w:r>
              <w:rPr>
                <w:rFonts w:ascii="Times New Roman" w:hAnsi="Times New Roman"/>
                <w:color w:val="000000"/>
                <w:sz w:val="20"/>
                <w:szCs w:val="20"/>
                <w:highlight w:val="none"/>
                <w:lang w:eastAsia="ru-RU"/>
              </w:rPr>
              <w:t>1</w:t>
            </w:r>
          </w:p>
        </w:tc>
        <w:tc>
          <w:tcPr>
            <w:tcW w:w="1279" w:type="pct"/>
            <w:tcBorders>
              <w:top w:val="single" w:color="auto" w:sz="4" w:space="0"/>
              <w:left w:val="single" w:color="auto" w:sz="4" w:space="0"/>
              <w:bottom w:val="nil"/>
              <w:right w:val="nil"/>
            </w:tcBorders>
            <w:shd w:val="clear" w:color="auto" w:fill="FFFFFF"/>
          </w:tcPr>
          <w:p>
            <w:pPr>
              <w:autoSpaceDE w:val="0"/>
              <w:autoSpaceDN w:val="0"/>
              <w:adjustRightInd w:val="0"/>
              <w:spacing w:after="0" w:line="240" w:lineRule="auto"/>
              <w:ind w:left="57"/>
              <w:rPr>
                <w:rFonts w:ascii="Times New Roman" w:hAnsi="Times New Roman"/>
                <w:color w:val="000000"/>
                <w:sz w:val="20"/>
                <w:szCs w:val="20"/>
                <w:highlight w:val="none"/>
              </w:rPr>
            </w:pPr>
            <w:r>
              <w:rPr>
                <w:rFonts w:ascii="Times New Roman" w:hAnsi="Times New Roman"/>
                <w:color w:val="000000"/>
                <w:sz w:val="20"/>
                <w:szCs w:val="20"/>
                <w:highlight w:val="none"/>
              </w:rPr>
              <w:t>Индивидуальные жилые дома</w:t>
            </w:r>
          </w:p>
        </w:tc>
        <w:tc>
          <w:tcPr>
            <w:tcW w:w="648" w:type="pct"/>
            <w:tcBorders>
              <w:top w:val="single" w:color="auto" w:sz="4" w:space="0"/>
              <w:left w:val="single" w:color="auto" w:sz="4" w:space="0"/>
              <w:bottom w:val="nil"/>
              <w:right w:val="single" w:color="auto" w:sz="4" w:space="0"/>
            </w:tcBorders>
            <w:shd w:val="clear" w:color="auto" w:fill="FFFFFF"/>
          </w:tcPr>
          <w:p>
            <w:pPr>
              <w:spacing w:after="0" w:line="240" w:lineRule="auto"/>
              <w:ind w:left="57"/>
              <w:jc w:val="center"/>
              <w:rPr>
                <w:rFonts w:ascii="Times New Roman" w:hAnsi="Times New Roman" w:eastAsia="Times New Roman"/>
                <w:sz w:val="20"/>
                <w:szCs w:val="20"/>
                <w:highlight w:val="none"/>
                <w:lang w:eastAsia="ru-RU"/>
              </w:rPr>
            </w:pPr>
            <w:r>
              <w:rPr>
                <w:rFonts w:ascii="Times New Roman" w:hAnsi="Times New Roman" w:eastAsia="Times New Roman"/>
                <w:sz w:val="20"/>
                <w:szCs w:val="20"/>
                <w:highlight w:val="none"/>
                <w:lang w:eastAsia="ru-RU"/>
              </w:rPr>
              <w:t>жителей</w:t>
            </w:r>
          </w:p>
        </w:tc>
        <w:tc>
          <w:tcPr>
            <w:tcW w:w="703" w:type="pct"/>
            <w:tcBorders>
              <w:top w:val="single" w:color="auto" w:sz="4" w:space="0"/>
              <w:left w:val="single" w:color="auto" w:sz="4" w:space="0"/>
              <w:bottom w:val="nil"/>
              <w:right w:val="nil"/>
            </w:tcBorders>
            <w:shd w:val="clear" w:color="auto" w:fill="FFFFFF"/>
          </w:tcPr>
          <w:p>
            <w:pPr>
              <w:spacing w:after="0" w:line="240" w:lineRule="auto"/>
              <w:ind w:left="57"/>
              <w:jc w:val="center"/>
              <w:rPr>
                <w:rFonts w:ascii="Times New Roman" w:hAnsi="Times New Roman" w:eastAsia="Times New Roman"/>
                <w:sz w:val="20"/>
                <w:szCs w:val="20"/>
                <w:highlight w:val="none"/>
                <w:lang w:eastAsia="ru-RU"/>
              </w:rPr>
            </w:pPr>
            <w:r>
              <w:rPr>
                <w:rFonts w:ascii="Times New Roman" w:hAnsi="Times New Roman" w:eastAsia="Times New Roman"/>
                <w:sz w:val="20"/>
                <w:szCs w:val="20"/>
                <w:highlight w:val="none"/>
                <w:lang w:eastAsia="ru-RU"/>
              </w:rPr>
              <w:t>612</w:t>
            </w:r>
          </w:p>
        </w:tc>
        <w:tc>
          <w:tcPr>
            <w:tcW w:w="967" w:type="pct"/>
            <w:tcBorders>
              <w:top w:val="single" w:color="auto" w:sz="4" w:space="0"/>
              <w:left w:val="single" w:color="auto" w:sz="4" w:space="0"/>
              <w:bottom w:val="nil"/>
              <w:right w:val="nil"/>
            </w:tcBorders>
            <w:shd w:val="clear" w:color="auto" w:fill="FFFFFF"/>
          </w:tcPr>
          <w:p>
            <w:pPr>
              <w:spacing w:after="0" w:line="240" w:lineRule="auto"/>
              <w:jc w:val="center"/>
              <w:rPr>
                <w:rFonts w:ascii="Times New Roman" w:hAnsi="Times New Roman"/>
                <w:color w:val="000000"/>
                <w:sz w:val="20"/>
                <w:szCs w:val="20"/>
                <w:highlight w:val="none"/>
              </w:rPr>
            </w:pPr>
            <w:r>
              <w:rPr>
                <w:rFonts w:ascii="Times New Roman" w:hAnsi="Times New Roman"/>
                <w:color w:val="000000"/>
                <w:sz w:val="20"/>
                <w:szCs w:val="20"/>
                <w:highlight w:val="none"/>
              </w:rPr>
              <w:t>120</w:t>
            </w:r>
          </w:p>
        </w:tc>
        <w:tc>
          <w:tcPr>
            <w:tcW w:w="615" w:type="pct"/>
            <w:tcBorders>
              <w:top w:val="single" w:color="auto" w:sz="4" w:space="0"/>
              <w:left w:val="single" w:color="auto" w:sz="4" w:space="0"/>
              <w:bottom w:val="nil"/>
              <w:right w:val="nil"/>
            </w:tcBorders>
            <w:shd w:val="clear" w:color="auto" w:fill="FFFFFF"/>
          </w:tcPr>
          <w:p>
            <w:pPr>
              <w:spacing w:after="0" w:line="240" w:lineRule="auto"/>
              <w:jc w:val="center"/>
              <w:rPr>
                <w:rFonts w:ascii="Times New Roman" w:hAnsi="Times New Roman" w:eastAsia="Times New Roman"/>
                <w:color w:val="000000"/>
                <w:sz w:val="20"/>
                <w:szCs w:val="20"/>
                <w:highlight w:val="none"/>
              </w:rPr>
            </w:pPr>
            <w:r>
              <w:rPr>
                <w:rFonts w:ascii="Times New Roman" w:hAnsi="Times New Roman" w:eastAsia="Times New Roman"/>
                <w:color w:val="000000"/>
                <w:sz w:val="20"/>
                <w:szCs w:val="20"/>
                <w:highlight w:val="none"/>
              </w:rPr>
              <w:t>73,44</w:t>
            </w:r>
          </w:p>
        </w:tc>
        <w:tc>
          <w:tcPr>
            <w:tcW w:w="592" w:type="pct"/>
            <w:tcBorders>
              <w:top w:val="single" w:color="auto" w:sz="4" w:space="0"/>
              <w:left w:val="single" w:color="auto" w:sz="4" w:space="0"/>
              <w:bottom w:val="nil"/>
              <w:right w:val="single" w:color="auto" w:sz="4" w:space="0"/>
            </w:tcBorders>
            <w:shd w:val="clear" w:color="auto" w:fill="FFFFFF"/>
          </w:tcPr>
          <w:p>
            <w:pPr>
              <w:spacing w:after="0" w:line="240" w:lineRule="auto"/>
              <w:jc w:val="center"/>
              <w:rPr>
                <w:rFonts w:ascii="Times New Roman" w:hAnsi="Times New Roman" w:eastAsia="Times New Roman"/>
                <w:color w:val="000000"/>
                <w:sz w:val="20"/>
                <w:szCs w:val="20"/>
                <w:highlight w:val="none"/>
              </w:rPr>
            </w:pPr>
            <w:r>
              <w:rPr>
                <w:rFonts w:ascii="Times New Roman" w:hAnsi="Times New Roman" w:eastAsia="Times New Roman"/>
                <w:color w:val="000000"/>
                <w:sz w:val="20"/>
                <w:szCs w:val="20"/>
                <w:highlight w:val="none"/>
              </w:rPr>
              <w:t>73,44</w:t>
            </w:r>
          </w:p>
        </w:tc>
      </w:tr>
      <w:tr>
        <w:tblPrEx>
          <w:tblCellMar>
            <w:top w:w="0" w:type="dxa"/>
            <w:left w:w="0" w:type="dxa"/>
            <w:bottom w:w="0" w:type="dxa"/>
            <w:right w:w="0" w:type="dxa"/>
          </w:tblCellMar>
        </w:tblPrEx>
        <w:trPr>
          <w:trHeight w:val="20" w:hRule="atLeast"/>
          <w:jc w:val="center"/>
        </w:trPr>
        <w:tc>
          <w:tcPr>
            <w:tcW w:w="196" w:type="pct"/>
            <w:tcBorders>
              <w:top w:val="single" w:color="auto" w:sz="4" w:space="0"/>
              <w:left w:val="single" w:color="auto" w:sz="4" w:space="0"/>
              <w:bottom w:val="nil"/>
              <w:right w:val="nil"/>
            </w:tcBorders>
            <w:shd w:val="clear" w:color="auto" w:fill="FFFFFF"/>
          </w:tcPr>
          <w:p>
            <w:pPr>
              <w:spacing w:after="0" w:line="240" w:lineRule="auto"/>
              <w:jc w:val="center"/>
              <w:rPr>
                <w:rFonts w:ascii="Times New Roman" w:hAnsi="Times New Roman"/>
                <w:color w:val="000000"/>
                <w:sz w:val="20"/>
                <w:szCs w:val="20"/>
                <w:highlight w:val="none"/>
                <w:lang w:eastAsia="ru-RU"/>
              </w:rPr>
            </w:pPr>
            <w:r>
              <w:rPr>
                <w:rFonts w:ascii="Times New Roman" w:hAnsi="Times New Roman"/>
                <w:color w:val="000000"/>
                <w:sz w:val="20"/>
                <w:szCs w:val="20"/>
                <w:highlight w:val="none"/>
                <w:lang w:eastAsia="ru-RU"/>
              </w:rPr>
              <w:t>2</w:t>
            </w:r>
          </w:p>
        </w:tc>
        <w:tc>
          <w:tcPr>
            <w:tcW w:w="1279" w:type="pct"/>
            <w:tcBorders>
              <w:top w:val="single" w:color="auto" w:sz="4" w:space="0"/>
              <w:left w:val="single" w:color="auto" w:sz="4" w:space="0"/>
              <w:bottom w:val="nil"/>
              <w:right w:val="nil"/>
            </w:tcBorders>
            <w:shd w:val="clear" w:color="auto" w:fill="FFFFFF"/>
          </w:tcPr>
          <w:p>
            <w:pPr>
              <w:autoSpaceDE w:val="0"/>
              <w:autoSpaceDN w:val="0"/>
              <w:adjustRightInd w:val="0"/>
              <w:spacing w:after="0" w:line="240" w:lineRule="auto"/>
              <w:ind w:left="57"/>
              <w:rPr>
                <w:rFonts w:ascii="Times New Roman" w:hAnsi="Times New Roman"/>
                <w:color w:val="000000"/>
                <w:sz w:val="20"/>
                <w:szCs w:val="20"/>
                <w:highlight w:val="none"/>
                <w:lang w:val="en-US"/>
              </w:rPr>
            </w:pPr>
            <w:r>
              <w:rPr>
                <w:rFonts w:ascii="Times New Roman" w:hAnsi="Times New Roman"/>
                <w:color w:val="000000"/>
                <w:sz w:val="20"/>
                <w:szCs w:val="20"/>
                <w:highlight w:val="none"/>
              </w:rPr>
              <w:t xml:space="preserve">Административно-общественные здания </w:t>
            </w:r>
          </w:p>
        </w:tc>
        <w:tc>
          <w:tcPr>
            <w:tcW w:w="648" w:type="pct"/>
            <w:tcBorders>
              <w:top w:val="single" w:color="auto" w:sz="4" w:space="0"/>
              <w:left w:val="single" w:color="auto" w:sz="4" w:space="0"/>
              <w:bottom w:val="nil"/>
              <w:right w:val="single" w:color="auto" w:sz="4" w:space="0"/>
            </w:tcBorders>
            <w:shd w:val="clear" w:color="auto" w:fill="FFFFFF"/>
          </w:tcPr>
          <w:p>
            <w:pPr>
              <w:spacing w:after="0" w:line="240" w:lineRule="auto"/>
              <w:ind w:left="57"/>
              <w:jc w:val="center"/>
              <w:rPr>
                <w:rFonts w:ascii="Times New Roman" w:hAnsi="Times New Roman" w:eastAsia="Times New Roman"/>
                <w:sz w:val="20"/>
                <w:szCs w:val="20"/>
                <w:highlight w:val="none"/>
                <w:lang w:eastAsia="ru-RU"/>
              </w:rPr>
            </w:pPr>
            <w:r>
              <w:rPr>
                <w:rFonts w:ascii="Times New Roman" w:hAnsi="Times New Roman" w:eastAsia="Times New Roman"/>
                <w:sz w:val="20"/>
                <w:szCs w:val="20"/>
                <w:highlight w:val="none"/>
                <w:lang w:eastAsia="ru-RU"/>
              </w:rPr>
              <w:t>-</w:t>
            </w:r>
          </w:p>
        </w:tc>
        <w:tc>
          <w:tcPr>
            <w:tcW w:w="703" w:type="pct"/>
            <w:tcBorders>
              <w:top w:val="single" w:color="auto" w:sz="4" w:space="0"/>
              <w:left w:val="single" w:color="auto" w:sz="4" w:space="0"/>
              <w:bottom w:val="nil"/>
              <w:right w:val="nil"/>
            </w:tcBorders>
            <w:shd w:val="clear" w:color="auto" w:fill="FFFFFF"/>
          </w:tcPr>
          <w:p>
            <w:pPr>
              <w:spacing w:after="0" w:line="240" w:lineRule="auto"/>
              <w:ind w:left="57"/>
              <w:jc w:val="center"/>
              <w:rPr>
                <w:rFonts w:ascii="Times New Roman" w:hAnsi="Times New Roman" w:eastAsia="Times New Roman"/>
                <w:sz w:val="20"/>
                <w:szCs w:val="20"/>
                <w:highlight w:val="none"/>
                <w:lang w:eastAsia="ru-RU"/>
              </w:rPr>
            </w:pPr>
            <w:r>
              <w:rPr>
                <w:rFonts w:ascii="Times New Roman" w:hAnsi="Times New Roman" w:eastAsia="Times New Roman"/>
                <w:sz w:val="20"/>
                <w:szCs w:val="20"/>
                <w:highlight w:val="none"/>
                <w:lang w:eastAsia="ru-RU"/>
              </w:rPr>
              <w:t>-</w:t>
            </w:r>
          </w:p>
        </w:tc>
        <w:tc>
          <w:tcPr>
            <w:tcW w:w="967" w:type="pct"/>
            <w:tcBorders>
              <w:top w:val="single" w:color="auto" w:sz="4" w:space="0"/>
              <w:left w:val="single" w:color="auto" w:sz="4" w:space="0"/>
              <w:bottom w:val="nil"/>
              <w:right w:val="nil"/>
            </w:tcBorders>
            <w:shd w:val="clear" w:color="auto" w:fill="FFFFFF"/>
          </w:tcPr>
          <w:p>
            <w:pPr>
              <w:spacing w:after="0" w:line="240" w:lineRule="auto"/>
              <w:jc w:val="center"/>
              <w:rPr>
                <w:rFonts w:ascii="Times New Roman" w:hAnsi="Times New Roman"/>
                <w:color w:val="000000"/>
                <w:sz w:val="20"/>
                <w:szCs w:val="20"/>
                <w:highlight w:val="none"/>
              </w:rPr>
            </w:pPr>
            <w:r>
              <w:rPr>
                <w:rFonts w:ascii="Times New Roman" w:hAnsi="Times New Roman"/>
                <w:color w:val="000000"/>
                <w:sz w:val="20"/>
                <w:szCs w:val="20"/>
                <w:highlight w:val="none"/>
              </w:rPr>
              <w:t>-</w:t>
            </w:r>
          </w:p>
        </w:tc>
        <w:tc>
          <w:tcPr>
            <w:tcW w:w="615" w:type="pct"/>
            <w:tcBorders>
              <w:top w:val="single" w:color="auto" w:sz="4" w:space="0"/>
              <w:left w:val="single" w:color="auto" w:sz="4" w:space="0"/>
              <w:bottom w:val="nil"/>
              <w:right w:val="nil"/>
            </w:tcBorders>
            <w:shd w:val="clear" w:color="auto" w:fill="FFFFFF"/>
          </w:tcPr>
          <w:p>
            <w:pPr>
              <w:spacing w:after="0" w:line="240" w:lineRule="auto"/>
              <w:jc w:val="center"/>
              <w:rPr>
                <w:rFonts w:ascii="Times New Roman" w:hAnsi="Times New Roman" w:eastAsia="Times New Roman"/>
                <w:color w:val="000000"/>
                <w:sz w:val="20"/>
                <w:szCs w:val="20"/>
                <w:highlight w:val="none"/>
              </w:rPr>
            </w:pPr>
            <w:r>
              <w:rPr>
                <w:rFonts w:ascii="Times New Roman" w:hAnsi="Times New Roman" w:eastAsia="Times New Roman"/>
                <w:color w:val="000000"/>
                <w:sz w:val="20"/>
                <w:szCs w:val="20"/>
                <w:highlight w:val="none"/>
              </w:rPr>
              <w:t>22,03</w:t>
            </w:r>
          </w:p>
        </w:tc>
        <w:tc>
          <w:tcPr>
            <w:tcW w:w="592" w:type="pct"/>
            <w:tcBorders>
              <w:top w:val="single" w:color="auto" w:sz="4" w:space="0"/>
              <w:left w:val="single" w:color="auto" w:sz="4" w:space="0"/>
              <w:bottom w:val="nil"/>
              <w:right w:val="single" w:color="auto" w:sz="4" w:space="0"/>
            </w:tcBorders>
            <w:shd w:val="clear" w:color="auto" w:fill="FFFFFF"/>
          </w:tcPr>
          <w:p>
            <w:pPr>
              <w:spacing w:after="0" w:line="240" w:lineRule="auto"/>
              <w:jc w:val="center"/>
              <w:rPr>
                <w:rFonts w:ascii="Times New Roman" w:hAnsi="Times New Roman" w:eastAsia="Times New Roman"/>
                <w:color w:val="000000"/>
                <w:sz w:val="20"/>
                <w:szCs w:val="20"/>
                <w:highlight w:val="none"/>
              </w:rPr>
            </w:pPr>
            <w:r>
              <w:rPr>
                <w:rFonts w:ascii="Times New Roman" w:hAnsi="Times New Roman" w:eastAsia="Times New Roman"/>
                <w:color w:val="000000"/>
                <w:sz w:val="20"/>
                <w:szCs w:val="20"/>
                <w:highlight w:val="none"/>
              </w:rPr>
              <w:t>22,03</w:t>
            </w:r>
          </w:p>
        </w:tc>
      </w:tr>
      <w:tr>
        <w:tblPrEx>
          <w:tblCellMar>
            <w:top w:w="0" w:type="dxa"/>
            <w:left w:w="0" w:type="dxa"/>
            <w:bottom w:w="0" w:type="dxa"/>
            <w:right w:w="0" w:type="dxa"/>
          </w:tblCellMar>
        </w:tblPrEx>
        <w:trPr>
          <w:trHeight w:val="20" w:hRule="atLeast"/>
          <w:jc w:val="center"/>
        </w:trPr>
        <w:tc>
          <w:tcPr>
            <w:tcW w:w="1475" w:type="pct"/>
            <w:gridSpan w:val="2"/>
            <w:tcBorders>
              <w:top w:val="single" w:color="auto" w:sz="4" w:space="0"/>
              <w:left w:val="single" w:color="auto" w:sz="4" w:space="0"/>
              <w:bottom w:val="nil"/>
              <w:right w:val="nil"/>
            </w:tcBorders>
            <w:shd w:val="clear" w:color="auto" w:fill="FFFFFF"/>
          </w:tcPr>
          <w:p>
            <w:pPr>
              <w:spacing w:after="0" w:line="240" w:lineRule="auto"/>
              <w:ind w:left="57"/>
              <w:rPr>
                <w:rFonts w:ascii="Times New Roman" w:hAnsi="Times New Roman"/>
                <w:color w:val="000000"/>
                <w:sz w:val="20"/>
                <w:szCs w:val="20"/>
                <w:highlight w:val="none"/>
              </w:rPr>
            </w:pPr>
            <w:r>
              <w:rPr>
                <w:rFonts w:ascii="Times New Roman" w:hAnsi="Times New Roman"/>
                <w:color w:val="000000"/>
                <w:sz w:val="20"/>
                <w:szCs w:val="20"/>
                <w:highlight w:val="none"/>
              </w:rPr>
              <w:t xml:space="preserve">Расход воды на полив </w:t>
            </w:r>
          </w:p>
        </w:tc>
        <w:tc>
          <w:tcPr>
            <w:tcW w:w="648" w:type="pct"/>
            <w:tcBorders>
              <w:top w:val="single" w:color="auto" w:sz="4" w:space="0"/>
              <w:left w:val="single" w:color="auto" w:sz="4" w:space="0"/>
              <w:bottom w:val="nil"/>
              <w:right w:val="single" w:color="auto" w:sz="4" w:space="0"/>
            </w:tcBorders>
            <w:shd w:val="clear" w:color="auto" w:fill="FFFFFF"/>
          </w:tcPr>
          <w:p>
            <w:pPr>
              <w:spacing w:after="0" w:line="240" w:lineRule="auto"/>
              <w:ind w:left="57"/>
              <w:jc w:val="center"/>
              <w:rPr>
                <w:rFonts w:ascii="Times New Roman" w:hAnsi="Times New Roman" w:eastAsia="Times New Roman"/>
                <w:sz w:val="20"/>
                <w:szCs w:val="20"/>
                <w:highlight w:val="none"/>
                <w:lang w:eastAsia="ru-RU"/>
              </w:rPr>
            </w:pPr>
            <w:r>
              <w:rPr>
                <w:rFonts w:ascii="Times New Roman" w:hAnsi="Times New Roman" w:eastAsia="Times New Roman"/>
                <w:sz w:val="20"/>
                <w:szCs w:val="20"/>
                <w:highlight w:val="none"/>
                <w:lang w:eastAsia="ru-RU"/>
              </w:rPr>
              <w:t>жителей</w:t>
            </w:r>
          </w:p>
        </w:tc>
        <w:tc>
          <w:tcPr>
            <w:tcW w:w="703" w:type="pct"/>
            <w:tcBorders>
              <w:top w:val="single" w:color="auto" w:sz="4" w:space="0"/>
              <w:left w:val="single" w:color="auto" w:sz="4" w:space="0"/>
              <w:bottom w:val="nil"/>
              <w:right w:val="nil"/>
            </w:tcBorders>
            <w:shd w:val="clear" w:color="auto" w:fill="FFFFFF"/>
          </w:tcPr>
          <w:p>
            <w:pPr>
              <w:spacing w:after="0" w:line="240" w:lineRule="auto"/>
              <w:contextualSpacing/>
              <w:jc w:val="center"/>
              <w:rPr>
                <w:rFonts w:ascii="Times New Roman" w:hAnsi="Times New Roman"/>
                <w:color w:val="000000"/>
                <w:sz w:val="20"/>
                <w:szCs w:val="20"/>
                <w:highlight w:val="none"/>
              </w:rPr>
            </w:pPr>
            <w:r>
              <w:rPr>
                <w:rFonts w:ascii="Times New Roman" w:hAnsi="Times New Roman"/>
                <w:color w:val="000000"/>
                <w:sz w:val="20"/>
                <w:szCs w:val="20"/>
                <w:highlight w:val="none"/>
              </w:rPr>
              <w:t>612</w:t>
            </w:r>
          </w:p>
        </w:tc>
        <w:tc>
          <w:tcPr>
            <w:tcW w:w="967" w:type="pct"/>
            <w:tcBorders>
              <w:top w:val="single" w:color="auto" w:sz="4" w:space="0"/>
              <w:left w:val="single" w:color="auto" w:sz="4" w:space="0"/>
              <w:bottom w:val="nil"/>
              <w:right w:val="nil"/>
            </w:tcBorders>
            <w:shd w:val="clear" w:color="auto" w:fill="FFFFFF"/>
          </w:tcPr>
          <w:p>
            <w:pPr>
              <w:spacing w:after="0" w:line="240" w:lineRule="auto"/>
              <w:contextualSpacing/>
              <w:jc w:val="center"/>
              <w:rPr>
                <w:rFonts w:ascii="Times New Roman" w:hAnsi="Times New Roman"/>
                <w:color w:val="000000"/>
                <w:sz w:val="20"/>
                <w:szCs w:val="20"/>
                <w:highlight w:val="none"/>
              </w:rPr>
            </w:pPr>
            <w:r>
              <w:rPr>
                <w:rFonts w:ascii="Times New Roman" w:hAnsi="Times New Roman"/>
                <w:color w:val="000000"/>
                <w:sz w:val="20"/>
                <w:szCs w:val="20"/>
                <w:highlight w:val="none"/>
              </w:rPr>
              <w:t>50</w:t>
            </w:r>
          </w:p>
        </w:tc>
        <w:tc>
          <w:tcPr>
            <w:tcW w:w="615" w:type="pct"/>
            <w:tcBorders>
              <w:top w:val="single" w:color="auto" w:sz="4" w:space="0"/>
              <w:left w:val="single" w:color="auto" w:sz="4" w:space="0"/>
              <w:bottom w:val="nil"/>
              <w:right w:val="nil"/>
            </w:tcBorders>
            <w:shd w:val="clear" w:color="auto" w:fill="auto"/>
          </w:tcPr>
          <w:p>
            <w:pPr>
              <w:spacing w:after="0" w:line="240" w:lineRule="auto"/>
              <w:contextualSpacing/>
              <w:jc w:val="center"/>
              <w:rPr>
                <w:rFonts w:ascii="Times New Roman" w:hAnsi="Times New Roman"/>
                <w:sz w:val="20"/>
                <w:szCs w:val="20"/>
                <w:highlight w:val="none"/>
              </w:rPr>
            </w:pPr>
            <w:r>
              <w:rPr>
                <w:rFonts w:ascii="Times New Roman" w:hAnsi="Times New Roman"/>
                <w:sz w:val="20"/>
                <w:szCs w:val="20"/>
                <w:highlight w:val="none"/>
              </w:rPr>
              <w:t>30,6</w:t>
            </w:r>
          </w:p>
        </w:tc>
        <w:tc>
          <w:tcPr>
            <w:tcW w:w="592" w:type="pct"/>
            <w:tcBorders>
              <w:top w:val="single" w:color="auto" w:sz="4" w:space="0"/>
              <w:left w:val="single" w:color="auto" w:sz="4" w:space="0"/>
              <w:bottom w:val="nil"/>
              <w:right w:val="single" w:color="auto" w:sz="4" w:space="0"/>
            </w:tcBorders>
            <w:shd w:val="clear" w:color="auto" w:fill="FFFFFF"/>
          </w:tcPr>
          <w:p>
            <w:pPr>
              <w:spacing w:after="0" w:line="240" w:lineRule="auto"/>
              <w:contextualSpacing/>
              <w:jc w:val="center"/>
              <w:rPr>
                <w:rFonts w:ascii="Times New Roman" w:hAnsi="Times New Roman"/>
                <w:color w:val="000000"/>
                <w:sz w:val="20"/>
                <w:szCs w:val="20"/>
                <w:highlight w:val="none"/>
              </w:rPr>
            </w:pPr>
            <w:r>
              <w:rPr>
                <w:rFonts w:ascii="Times New Roman" w:hAnsi="Times New Roman"/>
                <w:color w:val="000000"/>
                <w:sz w:val="20"/>
                <w:szCs w:val="20"/>
                <w:highlight w:val="none"/>
              </w:rPr>
              <w:t>-</w:t>
            </w:r>
          </w:p>
        </w:tc>
      </w:tr>
      <w:tr>
        <w:tblPrEx>
          <w:tblCellMar>
            <w:top w:w="0" w:type="dxa"/>
            <w:left w:w="0" w:type="dxa"/>
            <w:bottom w:w="0" w:type="dxa"/>
            <w:right w:w="0" w:type="dxa"/>
          </w:tblCellMar>
        </w:tblPrEx>
        <w:trPr>
          <w:trHeight w:val="20" w:hRule="atLeast"/>
          <w:jc w:val="center"/>
        </w:trPr>
        <w:tc>
          <w:tcPr>
            <w:tcW w:w="1475" w:type="pct"/>
            <w:gridSpan w:val="2"/>
            <w:tcBorders>
              <w:top w:val="single" w:color="auto" w:sz="4" w:space="0"/>
              <w:left w:val="single" w:color="auto" w:sz="4" w:space="0"/>
              <w:bottom w:val="nil"/>
              <w:right w:val="nil"/>
            </w:tcBorders>
            <w:shd w:val="clear" w:color="auto" w:fill="FFFFFF"/>
          </w:tcPr>
          <w:p>
            <w:pPr>
              <w:spacing w:after="0" w:line="240" w:lineRule="auto"/>
              <w:ind w:left="57"/>
              <w:rPr>
                <w:rFonts w:ascii="Times New Roman" w:hAnsi="Times New Roman"/>
                <w:sz w:val="20"/>
                <w:szCs w:val="20"/>
                <w:highlight w:val="none"/>
              </w:rPr>
            </w:pPr>
            <w:r>
              <w:rPr>
                <w:rFonts w:ascii="Times New Roman" w:hAnsi="Times New Roman"/>
                <w:color w:val="000000"/>
                <w:sz w:val="20"/>
                <w:szCs w:val="20"/>
                <w:highlight w:val="none"/>
              </w:rPr>
              <w:t>Неучтенные расходы (5 %)</w:t>
            </w:r>
          </w:p>
        </w:tc>
        <w:tc>
          <w:tcPr>
            <w:tcW w:w="648" w:type="pct"/>
            <w:tcBorders>
              <w:top w:val="single" w:color="auto" w:sz="4" w:space="0"/>
              <w:left w:val="single" w:color="auto" w:sz="4" w:space="0"/>
              <w:bottom w:val="nil"/>
              <w:right w:val="single" w:color="auto" w:sz="4" w:space="0"/>
            </w:tcBorders>
            <w:shd w:val="clear" w:color="auto" w:fill="FFFFFF"/>
          </w:tcPr>
          <w:p>
            <w:pPr>
              <w:spacing w:after="0" w:line="240" w:lineRule="auto"/>
              <w:jc w:val="center"/>
              <w:rPr>
                <w:rFonts w:ascii="Times New Roman" w:hAnsi="Times New Roman" w:eastAsia="Times New Roman"/>
                <w:sz w:val="20"/>
                <w:szCs w:val="20"/>
                <w:highlight w:val="none"/>
                <w:lang w:eastAsia="ru-RU"/>
              </w:rPr>
            </w:pPr>
            <w:r>
              <w:rPr>
                <w:rFonts w:ascii="Times New Roman" w:hAnsi="Times New Roman" w:eastAsia="Times New Roman"/>
                <w:sz w:val="20"/>
                <w:szCs w:val="20"/>
                <w:highlight w:val="none"/>
                <w:lang w:eastAsia="ru-RU"/>
              </w:rPr>
              <w:t>-</w:t>
            </w:r>
          </w:p>
        </w:tc>
        <w:tc>
          <w:tcPr>
            <w:tcW w:w="703" w:type="pct"/>
            <w:tcBorders>
              <w:top w:val="single" w:color="auto" w:sz="4" w:space="0"/>
              <w:left w:val="single" w:color="auto" w:sz="4" w:space="0"/>
              <w:bottom w:val="nil"/>
              <w:right w:val="nil"/>
            </w:tcBorders>
            <w:shd w:val="clear" w:color="auto" w:fill="FFFFFF"/>
          </w:tcPr>
          <w:p>
            <w:pPr>
              <w:spacing w:after="0" w:line="240" w:lineRule="auto"/>
              <w:contextualSpacing/>
              <w:jc w:val="center"/>
              <w:rPr>
                <w:rFonts w:ascii="Times New Roman" w:hAnsi="Times New Roman"/>
                <w:color w:val="000000"/>
                <w:sz w:val="20"/>
                <w:szCs w:val="20"/>
                <w:highlight w:val="none"/>
              </w:rPr>
            </w:pPr>
            <w:r>
              <w:rPr>
                <w:rFonts w:ascii="Times New Roman" w:hAnsi="Times New Roman"/>
                <w:color w:val="000000"/>
                <w:sz w:val="20"/>
                <w:szCs w:val="20"/>
                <w:highlight w:val="none"/>
              </w:rPr>
              <w:t>-</w:t>
            </w:r>
          </w:p>
        </w:tc>
        <w:tc>
          <w:tcPr>
            <w:tcW w:w="967" w:type="pct"/>
            <w:tcBorders>
              <w:top w:val="single" w:color="auto" w:sz="4" w:space="0"/>
              <w:left w:val="single" w:color="auto" w:sz="4" w:space="0"/>
              <w:bottom w:val="nil"/>
              <w:right w:val="nil"/>
            </w:tcBorders>
            <w:shd w:val="clear" w:color="auto" w:fill="FFFFFF"/>
          </w:tcPr>
          <w:p>
            <w:pPr>
              <w:spacing w:after="0" w:line="240" w:lineRule="auto"/>
              <w:contextualSpacing/>
              <w:jc w:val="center"/>
              <w:rPr>
                <w:rFonts w:ascii="Times New Roman" w:hAnsi="Times New Roman"/>
                <w:color w:val="000000"/>
                <w:sz w:val="20"/>
                <w:szCs w:val="20"/>
                <w:highlight w:val="none"/>
              </w:rPr>
            </w:pPr>
            <w:r>
              <w:rPr>
                <w:rFonts w:ascii="Times New Roman" w:hAnsi="Times New Roman"/>
                <w:color w:val="000000"/>
                <w:sz w:val="20"/>
                <w:szCs w:val="20"/>
                <w:highlight w:val="none"/>
              </w:rPr>
              <w:t>-</w:t>
            </w:r>
          </w:p>
        </w:tc>
        <w:tc>
          <w:tcPr>
            <w:tcW w:w="615" w:type="pct"/>
            <w:tcBorders>
              <w:top w:val="single" w:color="auto" w:sz="4" w:space="0"/>
              <w:left w:val="single" w:color="auto" w:sz="4" w:space="0"/>
              <w:bottom w:val="nil"/>
              <w:right w:val="nil"/>
            </w:tcBorders>
            <w:shd w:val="clear" w:color="auto" w:fill="FFFFFF"/>
          </w:tcPr>
          <w:p>
            <w:pPr>
              <w:spacing w:after="0" w:line="240" w:lineRule="auto"/>
              <w:contextualSpacing/>
              <w:jc w:val="center"/>
              <w:rPr>
                <w:rFonts w:ascii="Times New Roman" w:hAnsi="Times New Roman"/>
                <w:color w:val="000000"/>
                <w:sz w:val="20"/>
                <w:szCs w:val="20"/>
                <w:highlight w:val="none"/>
              </w:rPr>
            </w:pPr>
            <w:r>
              <w:rPr>
                <w:rFonts w:ascii="Times New Roman" w:hAnsi="Times New Roman"/>
                <w:color w:val="000000"/>
                <w:sz w:val="20"/>
                <w:szCs w:val="20"/>
                <w:highlight w:val="none"/>
              </w:rPr>
              <w:t>6,3</w:t>
            </w:r>
          </w:p>
        </w:tc>
        <w:tc>
          <w:tcPr>
            <w:tcW w:w="592" w:type="pct"/>
            <w:tcBorders>
              <w:top w:val="single" w:color="auto" w:sz="4" w:space="0"/>
              <w:left w:val="single" w:color="auto" w:sz="4" w:space="0"/>
              <w:bottom w:val="nil"/>
              <w:right w:val="single" w:color="auto" w:sz="4" w:space="0"/>
            </w:tcBorders>
            <w:shd w:val="clear" w:color="auto" w:fill="FFFFFF"/>
          </w:tcPr>
          <w:p>
            <w:pPr>
              <w:spacing w:after="0" w:line="240" w:lineRule="auto"/>
              <w:contextualSpacing/>
              <w:jc w:val="center"/>
              <w:rPr>
                <w:rFonts w:ascii="Times New Roman" w:hAnsi="Times New Roman"/>
                <w:color w:val="000000"/>
                <w:sz w:val="20"/>
                <w:szCs w:val="20"/>
                <w:highlight w:val="none"/>
              </w:rPr>
            </w:pPr>
            <w:r>
              <w:rPr>
                <w:rFonts w:ascii="Times New Roman" w:hAnsi="Times New Roman"/>
                <w:color w:val="000000"/>
                <w:sz w:val="20"/>
                <w:szCs w:val="20"/>
                <w:highlight w:val="none"/>
              </w:rPr>
              <w:t>4,77</w:t>
            </w:r>
          </w:p>
        </w:tc>
      </w:tr>
      <w:tr>
        <w:tblPrEx>
          <w:tblCellMar>
            <w:top w:w="0" w:type="dxa"/>
            <w:left w:w="0" w:type="dxa"/>
            <w:bottom w:w="0" w:type="dxa"/>
            <w:right w:w="0" w:type="dxa"/>
          </w:tblCellMar>
        </w:tblPrEx>
        <w:trPr>
          <w:trHeight w:val="20" w:hRule="atLeast"/>
          <w:jc w:val="center"/>
        </w:trPr>
        <w:tc>
          <w:tcPr>
            <w:tcW w:w="1475" w:type="pct"/>
            <w:gridSpan w:val="2"/>
            <w:tcBorders>
              <w:top w:val="single" w:color="auto" w:sz="4" w:space="0"/>
              <w:left w:val="single" w:color="auto" w:sz="4" w:space="0"/>
              <w:bottom w:val="nil"/>
              <w:right w:val="nil"/>
            </w:tcBorders>
            <w:shd w:val="clear" w:color="auto" w:fill="FFFFFF"/>
            <w:vAlign w:val="center"/>
          </w:tcPr>
          <w:p>
            <w:pPr>
              <w:spacing w:after="0" w:line="240" w:lineRule="auto"/>
              <w:ind w:left="57"/>
              <w:rPr>
                <w:rFonts w:ascii="Times New Roman" w:hAnsi="Times New Roman"/>
                <w:b/>
                <w:color w:val="000000"/>
                <w:sz w:val="20"/>
                <w:szCs w:val="20"/>
                <w:highlight w:val="none"/>
              </w:rPr>
            </w:pPr>
            <w:r>
              <w:rPr>
                <w:rFonts w:ascii="Times New Roman" w:hAnsi="Times New Roman"/>
                <w:b/>
                <w:color w:val="000000"/>
                <w:sz w:val="20"/>
                <w:szCs w:val="20"/>
                <w:highlight w:val="none"/>
              </w:rPr>
              <w:t>Всего:</w:t>
            </w:r>
          </w:p>
        </w:tc>
        <w:tc>
          <w:tcPr>
            <w:tcW w:w="648" w:type="pct"/>
            <w:tcBorders>
              <w:top w:val="single" w:color="auto" w:sz="4" w:space="0"/>
              <w:left w:val="single" w:color="auto" w:sz="4" w:space="0"/>
              <w:bottom w:val="nil"/>
              <w:right w:val="single" w:color="auto" w:sz="4" w:space="0"/>
            </w:tcBorders>
            <w:shd w:val="clear" w:color="auto" w:fill="FFFFFF"/>
          </w:tcPr>
          <w:p>
            <w:pPr>
              <w:spacing w:after="0" w:line="240" w:lineRule="auto"/>
              <w:jc w:val="center"/>
              <w:rPr>
                <w:rFonts w:ascii="Times New Roman" w:hAnsi="Times New Roman" w:eastAsia="Times New Roman"/>
                <w:sz w:val="20"/>
                <w:szCs w:val="20"/>
                <w:highlight w:val="none"/>
                <w:lang w:eastAsia="ru-RU"/>
              </w:rPr>
            </w:pPr>
            <w:r>
              <w:rPr>
                <w:rFonts w:ascii="Times New Roman" w:hAnsi="Times New Roman" w:eastAsia="Times New Roman"/>
                <w:sz w:val="20"/>
                <w:szCs w:val="20"/>
                <w:highlight w:val="none"/>
                <w:lang w:eastAsia="ru-RU"/>
              </w:rPr>
              <w:t>-</w:t>
            </w:r>
          </w:p>
        </w:tc>
        <w:tc>
          <w:tcPr>
            <w:tcW w:w="703" w:type="pct"/>
            <w:tcBorders>
              <w:top w:val="single" w:color="auto" w:sz="4" w:space="0"/>
              <w:left w:val="single" w:color="auto" w:sz="4" w:space="0"/>
              <w:bottom w:val="nil"/>
              <w:right w:val="nil"/>
            </w:tcBorders>
            <w:shd w:val="clear" w:color="auto" w:fill="FFFFFF"/>
          </w:tcPr>
          <w:p>
            <w:pPr>
              <w:spacing w:after="0" w:line="240" w:lineRule="auto"/>
              <w:contextualSpacing/>
              <w:jc w:val="center"/>
              <w:rPr>
                <w:rFonts w:ascii="Times New Roman" w:hAnsi="Times New Roman"/>
                <w:color w:val="000000"/>
                <w:sz w:val="20"/>
                <w:szCs w:val="20"/>
                <w:highlight w:val="none"/>
              </w:rPr>
            </w:pPr>
            <w:r>
              <w:rPr>
                <w:rFonts w:ascii="Times New Roman" w:hAnsi="Times New Roman"/>
                <w:color w:val="000000"/>
                <w:sz w:val="20"/>
                <w:szCs w:val="20"/>
                <w:highlight w:val="none"/>
              </w:rPr>
              <w:t>-</w:t>
            </w:r>
          </w:p>
        </w:tc>
        <w:tc>
          <w:tcPr>
            <w:tcW w:w="967" w:type="pct"/>
            <w:tcBorders>
              <w:top w:val="single" w:color="auto" w:sz="4" w:space="0"/>
              <w:left w:val="single" w:color="auto" w:sz="4" w:space="0"/>
              <w:bottom w:val="nil"/>
              <w:right w:val="nil"/>
            </w:tcBorders>
            <w:shd w:val="clear" w:color="auto" w:fill="FFFFFF"/>
          </w:tcPr>
          <w:p>
            <w:pPr>
              <w:spacing w:after="0" w:line="240" w:lineRule="auto"/>
              <w:contextualSpacing/>
              <w:jc w:val="center"/>
              <w:rPr>
                <w:rFonts w:ascii="Times New Roman" w:hAnsi="Times New Roman"/>
                <w:color w:val="000000"/>
                <w:sz w:val="20"/>
                <w:szCs w:val="20"/>
                <w:highlight w:val="none"/>
              </w:rPr>
            </w:pPr>
            <w:r>
              <w:rPr>
                <w:rFonts w:ascii="Times New Roman" w:hAnsi="Times New Roman"/>
                <w:color w:val="000000"/>
                <w:sz w:val="20"/>
                <w:szCs w:val="20"/>
                <w:highlight w:val="none"/>
              </w:rPr>
              <w:t>-</w:t>
            </w:r>
          </w:p>
        </w:tc>
        <w:tc>
          <w:tcPr>
            <w:tcW w:w="615" w:type="pct"/>
            <w:tcBorders>
              <w:top w:val="single" w:color="auto" w:sz="4" w:space="0"/>
              <w:left w:val="single" w:color="auto" w:sz="4" w:space="0"/>
              <w:bottom w:val="nil"/>
              <w:right w:val="nil"/>
            </w:tcBorders>
            <w:shd w:val="clear" w:color="auto" w:fill="FFFFFF"/>
          </w:tcPr>
          <w:p>
            <w:pPr>
              <w:spacing w:after="0" w:line="240" w:lineRule="auto"/>
              <w:jc w:val="center"/>
              <w:rPr>
                <w:rFonts w:ascii="Times New Roman" w:hAnsi="Times New Roman" w:eastAsia="Times New Roman"/>
                <w:b/>
                <w:color w:val="000000"/>
                <w:sz w:val="20"/>
                <w:szCs w:val="20"/>
                <w:highlight w:val="none"/>
              </w:rPr>
            </w:pPr>
            <w:r>
              <w:rPr>
                <w:rFonts w:ascii="Times New Roman" w:hAnsi="Times New Roman" w:eastAsia="Times New Roman"/>
                <w:b/>
                <w:color w:val="000000"/>
                <w:sz w:val="20"/>
                <w:szCs w:val="20"/>
                <w:highlight w:val="none"/>
              </w:rPr>
              <w:t>132,37</w:t>
            </w:r>
          </w:p>
        </w:tc>
        <w:tc>
          <w:tcPr>
            <w:tcW w:w="592" w:type="pct"/>
            <w:tcBorders>
              <w:top w:val="single" w:color="auto" w:sz="4" w:space="0"/>
              <w:left w:val="single" w:color="auto" w:sz="4" w:space="0"/>
              <w:bottom w:val="nil"/>
              <w:right w:val="single" w:color="auto" w:sz="4" w:space="0"/>
            </w:tcBorders>
            <w:shd w:val="clear" w:color="auto" w:fill="FFFFFF"/>
          </w:tcPr>
          <w:p>
            <w:pPr>
              <w:spacing w:after="0" w:line="240" w:lineRule="auto"/>
              <w:jc w:val="center"/>
              <w:rPr>
                <w:rFonts w:ascii="Times New Roman" w:hAnsi="Times New Roman" w:eastAsia="Times New Roman"/>
                <w:b/>
                <w:color w:val="000000"/>
                <w:sz w:val="20"/>
                <w:szCs w:val="20"/>
                <w:highlight w:val="none"/>
              </w:rPr>
            </w:pPr>
            <w:r>
              <w:rPr>
                <w:rFonts w:ascii="Times New Roman" w:hAnsi="Times New Roman" w:eastAsia="Times New Roman"/>
                <w:b/>
                <w:color w:val="000000"/>
                <w:sz w:val="20"/>
                <w:szCs w:val="20"/>
                <w:highlight w:val="none"/>
              </w:rPr>
              <w:t>100,24</w:t>
            </w:r>
          </w:p>
        </w:tc>
      </w:tr>
      <w:tr>
        <w:tblPrEx>
          <w:tblCellMar>
            <w:top w:w="0" w:type="dxa"/>
            <w:left w:w="0" w:type="dxa"/>
            <w:bottom w:w="0" w:type="dxa"/>
            <w:right w:w="0" w:type="dxa"/>
          </w:tblCellMar>
        </w:tblPrEx>
        <w:trPr>
          <w:trHeight w:val="20" w:hRule="atLeast"/>
          <w:jc w:val="center"/>
        </w:trPr>
        <w:tc>
          <w:tcPr>
            <w:tcW w:w="1475" w:type="pct"/>
            <w:gridSpan w:val="2"/>
            <w:tcBorders>
              <w:top w:val="single" w:color="auto" w:sz="4" w:space="0"/>
              <w:left w:val="single" w:color="auto" w:sz="4" w:space="0"/>
              <w:bottom w:val="single" w:color="auto" w:sz="4" w:space="0"/>
              <w:right w:val="nil"/>
            </w:tcBorders>
            <w:shd w:val="clear" w:color="auto" w:fill="FFFFFF"/>
            <w:vAlign w:val="center"/>
          </w:tcPr>
          <w:p>
            <w:pPr>
              <w:spacing w:after="0" w:line="240" w:lineRule="auto"/>
              <w:ind w:left="57"/>
              <w:rPr>
                <w:rFonts w:ascii="Times New Roman" w:hAnsi="Times New Roman"/>
                <w:color w:val="000000"/>
                <w:sz w:val="20"/>
                <w:szCs w:val="20"/>
                <w:highlight w:val="none"/>
              </w:rPr>
            </w:pPr>
            <w:r>
              <w:rPr>
                <w:rFonts w:ascii="Times New Roman" w:hAnsi="Times New Roman"/>
                <w:color w:val="000000"/>
                <w:sz w:val="20"/>
                <w:szCs w:val="20"/>
                <w:highlight w:val="none"/>
              </w:rPr>
              <w:t>Расход на пожаротушение</w:t>
            </w:r>
          </w:p>
        </w:tc>
        <w:tc>
          <w:tcPr>
            <w:tcW w:w="648" w:type="pct"/>
            <w:tcBorders>
              <w:top w:val="single" w:color="auto" w:sz="4" w:space="0"/>
              <w:left w:val="single" w:color="auto" w:sz="4" w:space="0"/>
              <w:bottom w:val="single" w:color="auto" w:sz="4" w:space="0"/>
              <w:right w:val="single" w:color="auto" w:sz="4" w:space="0"/>
            </w:tcBorders>
            <w:shd w:val="clear" w:color="auto" w:fill="FFFFFF"/>
          </w:tcPr>
          <w:p>
            <w:pPr>
              <w:spacing w:after="0" w:line="240" w:lineRule="auto"/>
              <w:jc w:val="center"/>
              <w:rPr>
                <w:rFonts w:ascii="Times New Roman" w:hAnsi="Times New Roman" w:eastAsia="Times New Roman"/>
                <w:sz w:val="20"/>
                <w:szCs w:val="20"/>
                <w:highlight w:val="none"/>
                <w:lang w:eastAsia="ru-RU"/>
              </w:rPr>
            </w:pPr>
            <w:r>
              <w:rPr>
                <w:rFonts w:ascii="Times New Roman" w:hAnsi="Times New Roman" w:eastAsia="Times New Roman"/>
                <w:sz w:val="20"/>
                <w:szCs w:val="20"/>
                <w:highlight w:val="none"/>
                <w:lang w:eastAsia="ru-RU"/>
              </w:rPr>
              <w:t>-</w:t>
            </w:r>
          </w:p>
        </w:tc>
        <w:tc>
          <w:tcPr>
            <w:tcW w:w="703" w:type="pct"/>
            <w:tcBorders>
              <w:top w:val="single" w:color="auto" w:sz="4" w:space="0"/>
              <w:left w:val="single" w:color="auto" w:sz="4" w:space="0"/>
              <w:bottom w:val="single" w:color="auto" w:sz="4" w:space="0"/>
              <w:right w:val="nil"/>
            </w:tcBorders>
            <w:shd w:val="clear" w:color="auto" w:fill="FFFFFF"/>
          </w:tcPr>
          <w:p>
            <w:pPr>
              <w:spacing w:after="0" w:line="240" w:lineRule="auto"/>
              <w:contextualSpacing/>
              <w:jc w:val="center"/>
              <w:rPr>
                <w:rFonts w:ascii="Times New Roman" w:hAnsi="Times New Roman"/>
                <w:color w:val="000000"/>
                <w:sz w:val="20"/>
                <w:szCs w:val="20"/>
                <w:highlight w:val="none"/>
              </w:rPr>
            </w:pPr>
            <w:r>
              <w:rPr>
                <w:rFonts w:ascii="Times New Roman" w:hAnsi="Times New Roman"/>
                <w:color w:val="000000"/>
                <w:sz w:val="20"/>
                <w:szCs w:val="20"/>
                <w:highlight w:val="none"/>
              </w:rPr>
              <w:t>-</w:t>
            </w:r>
          </w:p>
        </w:tc>
        <w:tc>
          <w:tcPr>
            <w:tcW w:w="967" w:type="pct"/>
            <w:tcBorders>
              <w:top w:val="single" w:color="auto" w:sz="4" w:space="0"/>
              <w:left w:val="single" w:color="auto" w:sz="4" w:space="0"/>
              <w:bottom w:val="single" w:color="auto" w:sz="4" w:space="0"/>
              <w:right w:val="nil"/>
            </w:tcBorders>
            <w:shd w:val="clear" w:color="auto" w:fill="FFFFFF"/>
          </w:tcPr>
          <w:p>
            <w:pPr>
              <w:spacing w:after="0" w:line="240" w:lineRule="auto"/>
              <w:contextualSpacing/>
              <w:jc w:val="center"/>
              <w:rPr>
                <w:rFonts w:ascii="Times New Roman" w:hAnsi="Times New Roman"/>
                <w:color w:val="000000"/>
                <w:sz w:val="20"/>
                <w:szCs w:val="20"/>
                <w:highlight w:val="none"/>
              </w:rPr>
            </w:pPr>
            <w:r>
              <w:rPr>
                <w:rFonts w:ascii="Times New Roman" w:hAnsi="Times New Roman"/>
                <w:color w:val="000000"/>
                <w:sz w:val="20"/>
                <w:szCs w:val="20"/>
                <w:highlight w:val="none"/>
              </w:rPr>
              <w:t>-</w:t>
            </w:r>
          </w:p>
        </w:tc>
        <w:tc>
          <w:tcPr>
            <w:tcW w:w="615" w:type="pct"/>
            <w:tcBorders>
              <w:top w:val="single" w:color="auto" w:sz="4" w:space="0"/>
              <w:left w:val="single" w:color="auto" w:sz="4" w:space="0"/>
              <w:bottom w:val="single" w:color="auto" w:sz="4" w:space="0"/>
              <w:right w:val="nil"/>
            </w:tcBorders>
            <w:shd w:val="clear" w:color="auto" w:fill="FFFFFF"/>
          </w:tcPr>
          <w:p>
            <w:pPr>
              <w:spacing w:after="0" w:line="240" w:lineRule="auto"/>
              <w:jc w:val="center"/>
              <w:rPr>
                <w:rFonts w:ascii="Times New Roman" w:hAnsi="Times New Roman" w:eastAsia="Times New Roman"/>
                <w:color w:val="000000"/>
                <w:sz w:val="20"/>
                <w:szCs w:val="20"/>
                <w:highlight w:val="none"/>
              </w:rPr>
            </w:pPr>
            <w:r>
              <w:rPr>
                <w:rFonts w:ascii="Times New Roman" w:hAnsi="Times New Roman" w:eastAsia="Times New Roman"/>
                <w:color w:val="000000"/>
                <w:sz w:val="20"/>
                <w:szCs w:val="20"/>
                <w:highlight w:val="none"/>
              </w:rPr>
              <w:t>54</w:t>
            </w:r>
          </w:p>
        </w:tc>
        <w:tc>
          <w:tcPr>
            <w:tcW w:w="592" w:type="pct"/>
            <w:tcBorders>
              <w:top w:val="single" w:color="auto" w:sz="4" w:space="0"/>
              <w:left w:val="single" w:color="auto" w:sz="4" w:space="0"/>
              <w:bottom w:val="single" w:color="auto" w:sz="4" w:space="0"/>
              <w:right w:val="single" w:color="auto" w:sz="4" w:space="0"/>
            </w:tcBorders>
            <w:shd w:val="clear" w:color="auto" w:fill="FFFFFF"/>
          </w:tcPr>
          <w:p>
            <w:pPr>
              <w:spacing w:after="0" w:line="240" w:lineRule="auto"/>
              <w:jc w:val="center"/>
              <w:rPr>
                <w:rFonts w:ascii="Times New Roman" w:hAnsi="Times New Roman" w:eastAsia="Times New Roman"/>
                <w:color w:val="000000"/>
                <w:sz w:val="20"/>
                <w:szCs w:val="20"/>
                <w:highlight w:val="none"/>
              </w:rPr>
            </w:pPr>
            <w:r>
              <w:rPr>
                <w:rFonts w:ascii="Times New Roman" w:hAnsi="Times New Roman" w:eastAsia="Times New Roman"/>
                <w:color w:val="000000"/>
                <w:sz w:val="20"/>
                <w:szCs w:val="20"/>
                <w:highlight w:val="none"/>
              </w:rPr>
              <w:t>-</w:t>
            </w:r>
          </w:p>
        </w:tc>
      </w:tr>
      <w:tr>
        <w:tblPrEx>
          <w:tblCellMar>
            <w:top w:w="0" w:type="dxa"/>
            <w:left w:w="0" w:type="dxa"/>
            <w:bottom w:w="0" w:type="dxa"/>
            <w:right w:w="0" w:type="dxa"/>
          </w:tblCellMar>
        </w:tblPrEx>
        <w:trPr>
          <w:trHeight w:val="20" w:hRule="atLeast"/>
          <w:jc w:val="center"/>
        </w:trPr>
        <w:tc>
          <w:tcPr>
            <w:tcW w:w="1475" w:type="pct"/>
            <w:gridSpan w:val="2"/>
            <w:tcBorders>
              <w:top w:val="single" w:color="auto" w:sz="4" w:space="0"/>
              <w:left w:val="single" w:color="auto" w:sz="4" w:space="0"/>
              <w:bottom w:val="single" w:color="auto" w:sz="4" w:space="0"/>
              <w:right w:val="nil"/>
            </w:tcBorders>
            <w:shd w:val="clear" w:color="auto" w:fill="FFFFFF"/>
            <w:vAlign w:val="center"/>
          </w:tcPr>
          <w:p>
            <w:pPr>
              <w:spacing w:after="0" w:line="240" w:lineRule="auto"/>
              <w:ind w:left="57"/>
              <w:rPr>
                <w:rFonts w:ascii="Times New Roman" w:hAnsi="Times New Roman"/>
                <w:color w:val="000000"/>
                <w:sz w:val="20"/>
                <w:szCs w:val="20"/>
                <w:highlight w:val="none"/>
              </w:rPr>
            </w:pPr>
            <w:r>
              <w:rPr>
                <w:rStyle w:val="67"/>
                <w:sz w:val="20"/>
                <w:szCs w:val="20"/>
                <w:highlight w:val="none"/>
              </w:rPr>
              <w:t>Итого:</w:t>
            </w:r>
          </w:p>
        </w:tc>
        <w:tc>
          <w:tcPr>
            <w:tcW w:w="648" w:type="pct"/>
            <w:tcBorders>
              <w:top w:val="single" w:color="auto" w:sz="4" w:space="0"/>
              <w:left w:val="single" w:color="auto" w:sz="4" w:space="0"/>
              <w:bottom w:val="single" w:color="auto" w:sz="4" w:space="0"/>
              <w:right w:val="single" w:color="auto" w:sz="4" w:space="0"/>
            </w:tcBorders>
            <w:shd w:val="clear" w:color="auto" w:fill="FFFFFF"/>
          </w:tcPr>
          <w:p>
            <w:pPr>
              <w:spacing w:after="0" w:line="240" w:lineRule="auto"/>
              <w:jc w:val="center"/>
              <w:rPr>
                <w:rFonts w:ascii="Times New Roman" w:hAnsi="Times New Roman" w:eastAsia="Times New Roman"/>
                <w:sz w:val="20"/>
                <w:szCs w:val="20"/>
                <w:highlight w:val="none"/>
                <w:lang w:eastAsia="ru-RU"/>
              </w:rPr>
            </w:pPr>
            <w:r>
              <w:rPr>
                <w:rFonts w:ascii="Times New Roman" w:hAnsi="Times New Roman" w:eastAsia="Times New Roman"/>
                <w:sz w:val="20"/>
                <w:szCs w:val="20"/>
                <w:highlight w:val="none"/>
                <w:lang w:eastAsia="ru-RU"/>
              </w:rPr>
              <w:t>-</w:t>
            </w:r>
          </w:p>
        </w:tc>
        <w:tc>
          <w:tcPr>
            <w:tcW w:w="703" w:type="pct"/>
            <w:tcBorders>
              <w:top w:val="single" w:color="auto" w:sz="4" w:space="0"/>
              <w:left w:val="single" w:color="auto" w:sz="4" w:space="0"/>
              <w:bottom w:val="single" w:color="auto" w:sz="4" w:space="0"/>
              <w:right w:val="nil"/>
            </w:tcBorders>
            <w:shd w:val="clear" w:color="auto" w:fill="FFFFFF"/>
            <w:vAlign w:val="center"/>
          </w:tcPr>
          <w:p>
            <w:pPr>
              <w:spacing w:after="0" w:line="240" w:lineRule="auto"/>
              <w:jc w:val="center"/>
              <w:rPr>
                <w:rFonts w:ascii="Times New Roman" w:hAnsi="Times New Roman" w:eastAsia="Times New Roman"/>
                <w:sz w:val="20"/>
                <w:szCs w:val="20"/>
                <w:highlight w:val="none"/>
                <w:lang w:eastAsia="ru-RU"/>
              </w:rPr>
            </w:pPr>
            <w:r>
              <w:rPr>
                <w:rFonts w:ascii="Times New Roman" w:hAnsi="Times New Roman" w:eastAsia="Times New Roman"/>
                <w:sz w:val="20"/>
                <w:szCs w:val="20"/>
                <w:highlight w:val="none"/>
                <w:lang w:eastAsia="ru-RU"/>
              </w:rPr>
              <w:t>-</w:t>
            </w:r>
          </w:p>
        </w:tc>
        <w:tc>
          <w:tcPr>
            <w:tcW w:w="967" w:type="pct"/>
            <w:tcBorders>
              <w:top w:val="single" w:color="auto" w:sz="4" w:space="0"/>
              <w:left w:val="single" w:color="auto" w:sz="4" w:space="0"/>
              <w:bottom w:val="single" w:color="auto" w:sz="4" w:space="0"/>
              <w:right w:val="nil"/>
            </w:tcBorders>
            <w:shd w:val="clear" w:color="auto" w:fill="FFFFFF"/>
            <w:vAlign w:val="center"/>
          </w:tcPr>
          <w:p>
            <w:pPr>
              <w:spacing w:after="0" w:line="240" w:lineRule="auto"/>
              <w:jc w:val="center"/>
              <w:rPr>
                <w:rFonts w:ascii="Times New Roman" w:hAnsi="Times New Roman" w:eastAsia="Times New Roman"/>
                <w:sz w:val="20"/>
                <w:szCs w:val="20"/>
                <w:highlight w:val="none"/>
                <w:lang w:eastAsia="ru-RU"/>
              </w:rPr>
            </w:pPr>
            <w:r>
              <w:rPr>
                <w:rFonts w:ascii="Times New Roman" w:hAnsi="Times New Roman" w:eastAsia="Times New Roman"/>
                <w:sz w:val="20"/>
                <w:szCs w:val="20"/>
                <w:highlight w:val="none"/>
                <w:lang w:eastAsia="ru-RU"/>
              </w:rPr>
              <w:t>-</w:t>
            </w:r>
          </w:p>
        </w:tc>
        <w:tc>
          <w:tcPr>
            <w:tcW w:w="615" w:type="pct"/>
            <w:tcBorders>
              <w:top w:val="single" w:color="auto" w:sz="4" w:space="0"/>
              <w:left w:val="single" w:color="auto" w:sz="4" w:space="0"/>
              <w:bottom w:val="single" w:color="auto" w:sz="4" w:space="0"/>
              <w:right w:val="nil"/>
            </w:tcBorders>
            <w:shd w:val="clear" w:color="auto" w:fill="FFFFFF"/>
          </w:tcPr>
          <w:p>
            <w:pPr>
              <w:spacing w:after="0" w:line="240" w:lineRule="auto"/>
              <w:jc w:val="center"/>
              <w:rPr>
                <w:rFonts w:ascii="Times New Roman" w:hAnsi="Times New Roman" w:eastAsia="Times New Roman"/>
                <w:b/>
                <w:color w:val="000000"/>
                <w:sz w:val="20"/>
                <w:szCs w:val="20"/>
                <w:highlight w:val="none"/>
              </w:rPr>
            </w:pPr>
            <w:r>
              <w:rPr>
                <w:rFonts w:ascii="Times New Roman" w:hAnsi="Times New Roman" w:eastAsia="Times New Roman"/>
                <w:b/>
                <w:color w:val="000000"/>
                <w:sz w:val="20"/>
                <w:szCs w:val="20"/>
                <w:highlight w:val="none"/>
              </w:rPr>
              <w:t>186,37</w:t>
            </w:r>
          </w:p>
        </w:tc>
        <w:tc>
          <w:tcPr>
            <w:tcW w:w="592" w:type="pct"/>
            <w:tcBorders>
              <w:top w:val="single" w:color="auto" w:sz="4" w:space="0"/>
              <w:left w:val="single" w:color="auto" w:sz="4" w:space="0"/>
              <w:bottom w:val="single" w:color="auto" w:sz="4" w:space="0"/>
              <w:right w:val="single" w:color="auto" w:sz="4" w:space="0"/>
            </w:tcBorders>
            <w:shd w:val="clear" w:color="auto" w:fill="FFFFFF"/>
          </w:tcPr>
          <w:p>
            <w:pPr>
              <w:spacing w:after="0" w:line="240" w:lineRule="auto"/>
              <w:jc w:val="center"/>
              <w:rPr>
                <w:rFonts w:ascii="Times New Roman" w:hAnsi="Times New Roman" w:eastAsia="Times New Roman"/>
                <w:b/>
                <w:color w:val="000000"/>
                <w:sz w:val="20"/>
                <w:szCs w:val="20"/>
                <w:highlight w:val="none"/>
              </w:rPr>
            </w:pPr>
            <w:r>
              <w:rPr>
                <w:rFonts w:ascii="Times New Roman" w:hAnsi="Times New Roman" w:eastAsia="Times New Roman"/>
                <w:b/>
                <w:color w:val="000000"/>
                <w:sz w:val="20"/>
                <w:szCs w:val="20"/>
                <w:highlight w:val="none"/>
              </w:rPr>
              <w:t>100,24</w:t>
            </w:r>
          </w:p>
        </w:tc>
      </w:tr>
    </w:tbl>
    <w:p>
      <w:pPr>
        <w:spacing w:before="120" w:after="0" w:line="300" w:lineRule="auto"/>
        <w:ind w:firstLine="851"/>
        <w:jc w:val="both"/>
        <w:rPr>
          <w:rFonts w:ascii="Times New Roman" w:hAnsi="Times New Roman" w:eastAsia="Times New Roman"/>
          <w:sz w:val="24"/>
          <w:szCs w:val="24"/>
          <w:highlight w:val="none"/>
          <w:lang w:eastAsia="ru-RU"/>
        </w:rPr>
      </w:pPr>
      <w:r>
        <w:rPr>
          <w:rFonts w:ascii="Times New Roman" w:hAnsi="Times New Roman" w:eastAsia="Times New Roman"/>
          <w:sz w:val="24"/>
          <w:szCs w:val="24"/>
          <w:highlight w:val="none"/>
          <w:lang w:eastAsia="ru-RU"/>
        </w:rPr>
        <w:t xml:space="preserve">Трассировка магистральных сетей микрорайона выполнена с учетом проектируемой застройки и предусматривается вдоль проектируемых автодорог, вне асфальтовых покрытий проезжих частей. Прокладка сетей водоснабжения принята подземная. </w:t>
      </w:r>
    </w:p>
    <w:p>
      <w:pPr>
        <w:spacing w:after="0" w:line="300" w:lineRule="auto"/>
        <w:ind w:firstLine="851"/>
        <w:contextualSpacing/>
        <w:jc w:val="both"/>
        <w:rPr>
          <w:rFonts w:ascii="Times New Roman" w:hAnsi="Times New Roman" w:eastAsia="Times New Roman"/>
          <w:sz w:val="24"/>
          <w:szCs w:val="24"/>
          <w:highlight w:val="none"/>
          <w:lang w:eastAsia="ru-RU"/>
        </w:rPr>
      </w:pPr>
      <w:r>
        <w:rPr>
          <w:rFonts w:ascii="Times New Roman" w:hAnsi="Times New Roman" w:eastAsia="Times New Roman"/>
          <w:sz w:val="24"/>
          <w:szCs w:val="24"/>
          <w:highlight w:val="none"/>
          <w:lang w:eastAsia="ru-RU"/>
        </w:rPr>
        <w:t xml:space="preserve"> На проектируемой водопроводной сети должны быть установлены водопроводные колодцы и камеры с арматурой для выпуска воздуха и для сброса воды при опорожнении трубопроводов на случай ремонта.</w:t>
      </w:r>
    </w:p>
    <w:p>
      <w:pPr>
        <w:spacing w:after="0" w:line="300" w:lineRule="auto"/>
        <w:ind w:firstLine="851"/>
        <w:contextualSpacing/>
        <w:jc w:val="both"/>
        <w:rPr>
          <w:rFonts w:ascii="Times New Roman" w:hAnsi="Times New Roman" w:eastAsia="Times New Roman"/>
          <w:sz w:val="24"/>
          <w:szCs w:val="24"/>
          <w:highlight w:val="none"/>
          <w:lang w:eastAsia="ru-RU"/>
        </w:rPr>
      </w:pPr>
      <w:r>
        <w:rPr>
          <w:rFonts w:ascii="Times New Roman" w:hAnsi="Times New Roman" w:eastAsia="Times New Roman"/>
          <w:sz w:val="24"/>
          <w:szCs w:val="24"/>
          <w:highlight w:val="none"/>
          <w:lang w:eastAsia="ru-RU"/>
        </w:rPr>
        <w:t>Проектируемые наружные трубопроводы хозяйственно-питьевого водоснабжения предлагается выполнить из водопроводных полиэтиленовых труб ПНД. Диаметры проектируемых трубопроводов принимаются по гидравлическому расчету на следующих этапах проектирования</w:t>
      </w:r>
    </w:p>
    <w:p>
      <w:pPr>
        <w:tabs>
          <w:tab w:val="left" w:pos="2558"/>
        </w:tabs>
        <w:autoSpaceDE w:val="0"/>
        <w:autoSpaceDN w:val="0"/>
        <w:adjustRightInd w:val="0"/>
        <w:spacing w:after="0" w:line="300" w:lineRule="auto"/>
        <w:ind w:firstLine="851"/>
        <w:jc w:val="both"/>
        <w:rPr>
          <w:rFonts w:ascii="Times New Roman" w:hAnsi="Times New Roman"/>
          <w:bCs/>
          <w:sz w:val="24"/>
          <w:szCs w:val="24"/>
          <w:highlight w:val="none"/>
        </w:rPr>
      </w:pPr>
      <w:r>
        <w:rPr>
          <w:rFonts w:ascii="Times New Roman" w:hAnsi="Times New Roman"/>
          <w:bCs/>
          <w:sz w:val="24"/>
          <w:szCs w:val="24"/>
          <w:highlight w:val="none"/>
        </w:rPr>
        <w:t>Суммарный расход по планируемой территории в сутки наибольшего водопотребления, с учетом подключения существующих объектов к централизованной системе водоснабжения, составит:</w:t>
      </w:r>
    </w:p>
    <w:p>
      <w:pPr>
        <w:numPr>
          <w:ilvl w:val="0"/>
          <w:numId w:val="16"/>
        </w:numPr>
        <w:tabs>
          <w:tab w:val="left" w:pos="284"/>
        </w:tabs>
        <w:spacing w:after="0" w:line="300" w:lineRule="auto"/>
        <w:ind w:left="0" w:right="-285" w:firstLine="426"/>
        <w:jc w:val="both"/>
        <w:rPr>
          <w:rFonts w:ascii="Times New Roman" w:hAnsi="Times New Roman"/>
          <w:sz w:val="24"/>
          <w:szCs w:val="24"/>
          <w:highlight w:val="none"/>
        </w:rPr>
      </w:pPr>
      <w:r>
        <w:rPr>
          <w:rFonts w:ascii="Times New Roman" w:hAnsi="Times New Roman"/>
          <w:sz w:val="24"/>
          <w:szCs w:val="24"/>
          <w:highlight w:val="none"/>
        </w:rPr>
        <w:t>расход воды в сутки наибольшего водопотребления: 186,37 м</w:t>
      </w:r>
      <w:r>
        <w:rPr>
          <w:rFonts w:ascii="Times New Roman" w:hAnsi="Times New Roman"/>
          <w:sz w:val="24"/>
          <w:szCs w:val="24"/>
          <w:highlight w:val="none"/>
          <w:vertAlign w:val="superscript"/>
        </w:rPr>
        <w:t>3</w:t>
      </w:r>
      <w:r>
        <w:rPr>
          <w:rFonts w:ascii="Times New Roman" w:hAnsi="Times New Roman"/>
          <w:sz w:val="24"/>
          <w:szCs w:val="24"/>
          <w:highlight w:val="none"/>
        </w:rPr>
        <w:t>/сут;</w:t>
      </w:r>
    </w:p>
    <w:p>
      <w:pPr>
        <w:numPr>
          <w:ilvl w:val="0"/>
          <w:numId w:val="16"/>
        </w:numPr>
        <w:tabs>
          <w:tab w:val="left" w:pos="284"/>
        </w:tabs>
        <w:spacing w:after="0" w:line="300" w:lineRule="auto"/>
        <w:ind w:left="0" w:right="-285" w:firstLine="426"/>
        <w:jc w:val="both"/>
        <w:rPr>
          <w:rFonts w:ascii="Times New Roman" w:hAnsi="Times New Roman"/>
          <w:sz w:val="24"/>
          <w:szCs w:val="24"/>
          <w:highlight w:val="none"/>
        </w:rPr>
      </w:pPr>
      <w:r>
        <w:rPr>
          <w:rFonts w:ascii="Times New Roman" w:hAnsi="Times New Roman"/>
          <w:sz w:val="24"/>
          <w:szCs w:val="24"/>
          <w:highlight w:val="none"/>
        </w:rPr>
        <w:t>расход воды в час наибольшего водопотребления: 22,36 м</w:t>
      </w:r>
      <w:r>
        <w:rPr>
          <w:rFonts w:ascii="Times New Roman" w:hAnsi="Times New Roman"/>
          <w:sz w:val="24"/>
          <w:szCs w:val="24"/>
          <w:highlight w:val="none"/>
          <w:vertAlign w:val="superscript"/>
        </w:rPr>
        <w:t>3</w:t>
      </w:r>
      <w:r>
        <w:rPr>
          <w:rFonts w:ascii="Times New Roman" w:hAnsi="Times New Roman"/>
          <w:sz w:val="24"/>
          <w:szCs w:val="24"/>
          <w:highlight w:val="none"/>
        </w:rPr>
        <w:t>/ч.</w:t>
      </w:r>
    </w:p>
    <w:p>
      <w:pPr>
        <w:tabs>
          <w:tab w:val="left" w:pos="993"/>
        </w:tabs>
        <w:spacing w:after="0" w:line="300" w:lineRule="auto"/>
        <w:ind w:firstLine="709"/>
        <w:contextualSpacing/>
        <w:jc w:val="both"/>
        <w:rPr>
          <w:rFonts w:ascii="Times New Roman" w:hAnsi="Times New Roman"/>
          <w:sz w:val="24"/>
          <w:szCs w:val="24"/>
          <w:highlight w:val="none"/>
        </w:rPr>
      </w:pPr>
      <w:r>
        <w:rPr>
          <w:rFonts w:ascii="Times New Roman" w:hAnsi="Times New Roman"/>
          <w:sz w:val="24"/>
          <w:szCs w:val="24"/>
          <w:highlight w:val="none"/>
        </w:rPr>
        <w:t>Проектом предусматривается:</w:t>
      </w:r>
    </w:p>
    <w:p>
      <w:pPr>
        <w:numPr>
          <w:ilvl w:val="0"/>
          <w:numId w:val="16"/>
        </w:numPr>
        <w:tabs>
          <w:tab w:val="left" w:pos="284"/>
        </w:tabs>
        <w:spacing w:after="0" w:line="300" w:lineRule="auto"/>
        <w:ind w:left="0" w:right="-285" w:firstLine="426"/>
        <w:jc w:val="both"/>
        <w:rPr>
          <w:rFonts w:ascii="Times New Roman" w:hAnsi="Times New Roman"/>
          <w:sz w:val="24"/>
          <w:szCs w:val="24"/>
          <w:highlight w:val="none"/>
        </w:rPr>
      </w:pPr>
      <w:r>
        <w:rPr>
          <w:rFonts w:ascii="Times New Roman" w:hAnsi="Times New Roman"/>
          <w:sz w:val="24"/>
          <w:szCs w:val="24"/>
          <w:highlight w:val="none"/>
        </w:rPr>
        <w:t>строительство сетей водоснабжения, протяженностью 6,02 км;</w:t>
      </w:r>
    </w:p>
    <w:p>
      <w:pPr>
        <w:numPr>
          <w:ilvl w:val="0"/>
          <w:numId w:val="16"/>
        </w:numPr>
        <w:tabs>
          <w:tab w:val="left" w:pos="284"/>
        </w:tabs>
        <w:spacing w:after="0" w:line="300" w:lineRule="auto"/>
        <w:ind w:left="0" w:right="-285" w:firstLine="426"/>
        <w:jc w:val="both"/>
        <w:rPr>
          <w:rFonts w:ascii="Times New Roman" w:hAnsi="Times New Roman"/>
          <w:sz w:val="24"/>
          <w:szCs w:val="24"/>
          <w:highlight w:val="none"/>
        </w:rPr>
      </w:pPr>
      <w:r>
        <w:rPr>
          <w:rFonts w:ascii="Times New Roman" w:hAnsi="Times New Roman"/>
          <w:sz w:val="24"/>
          <w:szCs w:val="24"/>
          <w:highlight w:val="none"/>
        </w:rPr>
        <w:t>устройство пожарных гидрантов – 16 единиц.</w:t>
      </w:r>
    </w:p>
    <w:p>
      <w:pPr>
        <w:pStyle w:val="4"/>
        <w:spacing w:before="0" w:after="0" w:line="300" w:lineRule="auto"/>
        <w:ind w:firstLine="709"/>
        <w:contextualSpacing/>
        <w:jc w:val="both"/>
        <w:rPr>
          <w:rFonts w:ascii="Times New Roman" w:hAnsi="Times New Roman"/>
          <w:sz w:val="24"/>
          <w:szCs w:val="24"/>
          <w:highlight w:val="none"/>
        </w:rPr>
      </w:pPr>
      <w:bookmarkStart w:id="33" w:name="_Toc461181156"/>
      <w:r>
        <w:rPr>
          <w:rFonts w:ascii="Times New Roman" w:hAnsi="Times New Roman"/>
          <w:sz w:val="24"/>
          <w:szCs w:val="24"/>
          <w:highlight w:val="none"/>
        </w:rPr>
        <w:t>ВОДООТВЕДЕНИЕ</w:t>
      </w:r>
      <w:bookmarkEnd w:id="33"/>
    </w:p>
    <w:p>
      <w:pPr>
        <w:spacing w:after="0" w:line="300" w:lineRule="auto"/>
        <w:ind w:right="-284" w:firstLine="709"/>
        <w:jc w:val="both"/>
        <w:rPr>
          <w:rFonts w:ascii="Times New Roman" w:hAnsi="Times New Roman"/>
          <w:sz w:val="24"/>
          <w:szCs w:val="24"/>
          <w:highlight w:val="none"/>
        </w:rPr>
      </w:pPr>
      <w:r>
        <w:rPr>
          <w:rFonts w:ascii="Times New Roman" w:hAnsi="Times New Roman"/>
          <w:sz w:val="24"/>
          <w:szCs w:val="24"/>
          <w:highlight w:val="none"/>
        </w:rPr>
        <w:t>Раздел выполнен с учетом требований:</w:t>
      </w:r>
    </w:p>
    <w:p>
      <w:pPr>
        <w:numPr>
          <w:ilvl w:val="0"/>
          <w:numId w:val="16"/>
        </w:numPr>
        <w:tabs>
          <w:tab w:val="left" w:pos="284"/>
        </w:tabs>
        <w:spacing w:after="0" w:line="300" w:lineRule="auto"/>
        <w:ind w:left="0" w:right="-285" w:firstLine="426"/>
        <w:jc w:val="both"/>
        <w:rPr>
          <w:rFonts w:ascii="Times New Roman" w:hAnsi="Times New Roman"/>
          <w:sz w:val="24"/>
          <w:szCs w:val="24"/>
          <w:highlight w:val="none"/>
        </w:rPr>
      </w:pPr>
      <w:r>
        <w:rPr>
          <w:rFonts w:ascii="Times New Roman" w:hAnsi="Times New Roman"/>
          <w:sz w:val="24"/>
          <w:szCs w:val="24"/>
          <w:highlight w:val="none"/>
        </w:rPr>
        <w:t>СП 30.13330.2020. Свод правил. Внутренний водопровод и канализация зданий. Актуализированная редакция СНиП 2.04.01-85*;</w:t>
      </w:r>
    </w:p>
    <w:p>
      <w:pPr>
        <w:numPr>
          <w:ilvl w:val="0"/>
          <w:numId w:val="16"/>
        </w:numPr>
        <w:tabs>
          <w:tab w:val="left" w:pos="284"/>
        </w:tabs>
        <w:spacing w:after="0" w:line="300" w:lineRule="auto"/>
        <w:ind w:left="0" w:right="-285" w:firstLine="426"/>
        <w:jc w:val="both"/>
        <w:rPr>
          <w:rFonts w:ascii="Times New Roman" w:hAnsi="Times New Roman"/>
          <w:sz w:val="24"/>
          <w:szCs w:val="24"/>
          <w:highlight w:val="none"/>
        </w:rPr>
      </w:pPr>
      <w:r>
        <w:rPr>
          <w:rFonts w:ascii="Times New Roman" w:hAnsi="Times New Roman"/>
          <w:sz w:val="24"/>
          <w:szCs w:val="24"/>
          <w:highlight w:val="none"/>
        </w:rPr>
        <w:t>СП 32.13330-2018. Свод правил. Канализация. Наружные сети и сооружения. СНиП 2.04.03-85*;</w:t>
      </w:r>
    </w:p>
    <w:p>
      <w:pPr>
        <w:numPr>
          <w:ilvl w:val="0"/>
          <w:numId w:val="16"/>
        </w:numPr>
        <w:tabs>
          <w:tab w:val="left" w:pos="284"/>
        </w:tabs>
        <w:spacing w:after="0" w:line="300" w:lineRule="auto"/>
        <w:ind w:left="0" w:right="-285" w:firstLine="426"/>
        <w:jc w:val="both"/>
        <w:rPr>
          <w:rFonts w:ascii="Times New Roman" w:hAnsi="Times New Roman"/>
          <w:sz w:val="24"/>
          <w:szCs w:val="24"/>
          <w:highlight w:val="none"/>
        </w:rPr>
      </w:pPr>
      <w:r>
        <w:rPr>
          <w:rFonts w:ascii="Times New Roman" w:hAnsi="Times New Roman"/>
          <w:sz w:val="24"/>
          <w:szCs w:val="24"/>
          <w:highlight w:val="none"/>
        </w:rPr>
        <w:t>СП 129.13330.2019. Свод правил. Наружные сети и сооружения водоснабжения и канализации. Актуализированная редакция СНиП 3.05.04-85*;</w:t>
      </w:r>
    </w:p>
    <w:p>
      <w:pPr>
        <w:numPr>
          <w:ilvl w:val="0"/>
          <w:numId w:val="16"/>
        </w:numPr>
        <w:tabs>
          <w:tab w:val="left" w:pos="284"/>
        </w:tabs>
        <w:spacing w:after="0" w:line="300" w:lineRule="auto"/>
        <w:ind w:left="0" w:right="-285" w:firstLine="426"/>
        <w:jc w:val="both"/>
        <w:rPr>
          <w:rFonts w:ascii="Times New Roman" w:hAnsi="Times New Roman"/>
          <w:sz w:val="24"/>
          <w:szCs w:val="24"/>
          <w:highlight w:val="none"/>
        </w:rPr>
      </w:pPr>
      <w:r>
        <w:rPr>
          <w:rFonts w:ascii="Times New Roman" w:hAnsi="Times New Roman"/>
          <w:sz w:val="24"/>
          <w:szCs w:val="24"/>
          <w:highlight w:val="none"/>
        </w:rPr>
        <w:t>СН 456-73. Нормы отвода земель для магистральных водоводов и канализационных коллекторов.</w:t>
      </w:r>
    </w:p>
    <w:p>
      <w:pPr>
        <w:spacing w:after="0" w:line="300" w:lineRule="auto"/>
        <w:ind w:firstLine="709"/>
        <w:contextualSpacing/>
        <w:jc w:val="both"/>
        <w:rPr>
          <w:rFonts w:ascii="Times New Roman" w:hAnsi="Times New Roman"/>
          <w:b/>
          <w:sz w:val="24"/>
          <w:szCs w:val="24"/>
          <w:highlight w:val="none"/>
        </w:rPr>
      </w:pPr>
      <w:r>
        <w:rPr>
          <w:rFonts w:ascii="Times New Roman" w:hAnsi="Times New Roman"/>
          <w:b/>
          <w:sz w:val="24"/>
          <w:szCs w:val="24"/>
          <w:highlight w:val="none"/>
        </w:rPr>
        <w:t>Существующее положение</w:t>
      </w:r>
    </w:p>
    <w:p>
      <w:pPr>
        <w:tabs>
          <w:tab w:val="left" w:pos="709"/>
        </w:tabs>
        <w:spacing w:after="0" w:line="300" w:lineRule="auto"/>
        <w:ind w:firstLine="709"/>
        <w:jc w:val="both"/>
        <w:rPr>
          <w:rFonts w:ascii="Times New Roman" w:hAnsi="Times New Roman"/>
          <w:bCs/>
          <w:color w:val="000000"/>
          <w:sz w:val="24"/>
          <w:szCs w:val="24"/>
          <w:highlight w:val="none"/>
        </w:rPr>
      </w:pPr>
      <w:r>
        <w:rPr>
          <w:rFonts w:ascii="Times New Roman" w:hAnsi="Times New Roman"/>
          <w:bCs/>
          <w:sz w:val="24"/>
          <w:szCs w:val="24"/>
          <w:highlight w:val="none"/>
        </w:rPr>
        <w:t xml:space="preserve">На момент разработки настоящего проекта планировки территории и проекта межевания территории квартала № 15 пгт. Ноглики муниципального образования «Городской округ Ногликский», </w:t>
      </w:r>
      <w:r>
        <w:rPr>
          <w:rFonts w:ascii="Times New Roman" w:hAnsi="Times New Roman" w:eastAsia="Times New Roman"/>
          <w:sz w:val="24"/>
          <w:szCs w:val="24"/>
          <w:highlight w:val="none"/>
          <w:lang w:eastAsia="ru-RU"/>
        </w:rPr>
        <w:t>на территории сети и объекты</w:t>
      </w:r>
      <w:r>
        <w:rPr>
          <w:rFonts w:ascii="Times New Roman" w:hAnsi="Times New Roman"/>
          <w:bCs/>
          <w:color w:val="000000"/>
          <w:sz w:val="24"/>
          <w:szCs w:val="24"/>
          <w:highlight w:val="none"/>
        </w:rPr>
        <w:t xml:space="preserve"> водоотведения</w:t>
      </w:r>
      <w:r>
        <w:rPr>
          <w:rFonts w:ascii="Times New Roman" w:hAnsi="Times New Roman" w:eastAsia="Times New Roman"/>
          <w:sz w:val="24"/>
          <w:szCs w:val="24"/>
          <w:highlight w:val="none"/>
          <w:lang w:eastAsia="ru-RU"/>
        </w:rPr>
        <w:t xml:space="preserve"> отсутствуют</w:t>
      </w:r>
      <w:r>
        <w:rPr>
          <w:rFonts w:ascii="Times New Roman" w:hAnsi="Times New Roman"/>
          <w:bCs/>
          <w:color w:val="000000"/>
          <w:sz w:val="24"/>
          <w:szCs w:val="24"/>
          <w:highlight w:val="none"/>
        </w:rPr>
        <w:t>.</w:t>
      </w:r>
    </w:p>
    <w:p>
      <w:pPr>
        <w:pStyle w:val="22"/>
        <w:spacing w:after="0" w:line="300" w:lineRule="auto"/>
        <w:ind w:left="0" w:firstLine="709"/>
        <w:rPr>
          <w:rStyle w:val="65"/>
          <w:b/>
          <w:sz w:val="24"/>
          <w:szCs w:val="24"/>
          <w:highlight w:val="none"/>
        </w:rPr>
      </w:pPr>
      <w:r>
        <w:rPr>
          <w:rStyle w:val="65"/>
          <w:b/>
          <w:sz w:val="24"/>
          <w:szCs w:val="24"/>
          <w:highlight w:val="none"/>
        </w:rPr>
        <w:t>Проектные положения</w:t>
      </w:r>
    </w:p>
    <w:p>
      <w:pPr>
        <w:spacing w:after="0" w:line="300" w:lineRule="auto"/>
        <w:ind w:firstLine="709"/>
        <w:contextualSpacing/>
        <w:rPr>
          <w:rFonts w:ascii="Times New Roman" w:hAnsi="Times New Roman"/>
          <w:b/>
          <w:bCs/>
          <w:sz w:val="24"/>
          <w:szCs w:val="24"/>
          <w:highlight w:val="none"/>
        </w:rPr>
      </w:pPr>
      <w:r>
        <w:rPr>
          <w:rFonts w:ascii="Times New Roman" w:hAnsi="Times New Roman"/>
          <w:b/>
          <w:bCs/>
          <w:sz w:val="24"/>
          <w:szCs w:val="24"/>
          <w:highlight w:val="none"/>
        </w:rPr>
        <w:t>Бытовая канализация</w:t>
      </w:r>
    </w:p>
    <w:p>
      <w:pPr>
        <w:spacing w:after="0" w:line="300" w:lineRule="auto"/>
        <w:ind w:firstLine="709"/>
        <w:contextualSpacing/>
        <w:jc w:val="both"/>
        <w:rPr>
          <w:rFonts w:ascii="Times New Roman" w:hAnsi="Times New Roman"/>
          <w:sz w:val="24"/>
          <w:szCs w:val="24"/>
          <w:highlight w:val="none"/>
          <w:lang w:eastAsia="ru-RU"/>
        </w:rPr>
      </w:pPr>
      <w:r>
        <w:rPr>
          <w:rFonts w:ascii="Times New Roman" w:hAnsi="Times New Roman"/>
          <w:bCs/>
          <w:sz w:val="24"/>
          <w:szCs w:val="24"/>
          <w:highlight w:val="none"/>
        </w:rPr>
        <w:t xml:space="preserve">Отвод бытовых сточных вод от проектируемых объектов предусматривается с помощью системы самотечных и напорных трубопроводов, общей протяженностью  </w:t>
      </w:r>
      <w:r>
        <w:rPr>
          <w:rFonts w:ascii="Times New Roman" w:hAnsi="Times New Roman"/>
          <w:sz w:val="24"/>
          <w:szCs w:val="24"/>
          <w:highlight w:val="none"/>
        </w:rPr>
        <w:t xml:space="preserve">6,567 км, </w:t>
      </w:r>
      <w:r>
        <w:rPr>
          <w:rFonts w:ascii="Times New Roman" w:hAnsi="Times New Roman"/>
          <w:bCs/>
          <w:sz w:val="24"/>
          <w:szCs w:val="24"/>
          <w:highlight w:val="none"/>
        </w:rPr>
        <w:t>с дальнейшим отводом сточных вод в существующую сеть канализации пгт. Ноглики.</w:t>
      </w:r>
      <w:r>
        <w:rPr>
          <w:rFonts w:ascii="Times New Roman" w:hAnsi="Times New Roman"/>
          <w:sz w:val="24"/>
          <w:szCs w:val="24"/>
          <w:highlight w:val="none"/>
          <w:lang w:eastAsia="ru-RU"/>
        </w:rPr>
        <w:t xml:space="preserve"> Ввиду рельефа местности, </w:t>
      </w:r>
      <w:r>
        <w:rPr>
          <w:rFonts w:ascii="Times New Roman" w:hAnsi="Times New Roman" w:eastAsia="Times New Roman"/>
          <w:sz w:val="24"/>
          <w:szCs w:val="24"/>
          <w:highlight w:val="none"/>
          <w:lang w:eastAsia="ru-RU"/>
        </w:rPr>
        <w:t>на территории проектируемого земельного участка необходимо предусмотреть строительство канализационной насосной станции.</w:t>
      </w:r>
      <w:r>
        <w:rPr>
          <w:rFonts w:ascii="Times New Roman" w:hAnsi="Times New Roman"/>
          <w:sz w:val="24"/>
          <w:szCs w:val="24"/>
          <w:highlight w:val="none"/>
          <w:lang w:eastAsia="ru-RU"/>
        </w:rPr>
        <w:t xml:space="preserve"> </w:t>
      </w:r>
    </w:p>
    <w:p>
      <w:pPr>
        <w:spacing w:after="0" w:line="300" w:lineRule="auto"/>
        <w:ind w:firstLine="709"/>
        <w:contextualSpacing/>
        <w:jc w:val="both"/>
        <w:rPr>
          <w:rFonts w:ascii="Times New Roman" w:hAnsi="Times New Roman"/>
          <w:sz w:val="24"/>
          <w:szCs w:val="24"/>
          <w:highlight w:val="none"/>
          <w:lang w:eastAsia="ru-RU"/>
        </w:rPr>
      </w:pPr>
      <w:r>
        <w:rPr>
          <w:rFonts w:ascii="Times New Roman" w:hAnsi="Times New Roman"/>
          <w:sz w:val="24"/>
          <w:szCs w:val="24"/>
          <w:highlight w:val="none"/>
          <w:lang w:eastAsia="ru-RU"/>
        </w:rPr>
        <w:t xml:space="preserve">Нормы водоотведения планируемой территории приняты равными нормам водопотребления. Объемы суточного водоотведения проектируемой территории приведены в таблице </w:t>
      </w:r>
      <w:r>
        <w:rPr>
          <w:rFonts w:ascii="Times New Roman" w:hAnsi="Times New Roman" w:eastAsia="Times New Roman"/>
          <w:bCs/>
          <w:color w:val="000000"/>
          <w:sz w:val="24"/>
          <w:szCs w:val="24"/>
          <w:highlight w:val="none"/>
          <w:lang w:eastAsia="ru-RU"/>
        </w:rPr>
        <w:t>2.</w:t>
      </w:r>
    </w:p>
    <w:p>
      <w:pPr>
        <w:pStyle w:val="14"/>
        <w:spacing w:after="0" w:line="300" w:lineRule="auto"/>
        <w:ind w:firstLine="709"/>
        <w:contextualSpacing/>
        <w:rPr>
          <w:szCs w:val="24"/>
          <w:highlight w:val="none"/>
          <w:lang w:val="ru-RU" w:eastAsia="en-US"/>
        </w:rPr>
      </w:pPr>
      <w:r>
        <w:rPr>
          <w:szCs w:val="24"/>
          <w:highlight w:val="none"/>
          <w:lang w:val="ru-RU" w:eastAsia="en-US"/>
        </w:rPr>
        <w:t>Величина проектируемой подключаемой нагрузки, с учетом подключения существующих объектов к централизованной системе водоотведения, составляет 100,24</w:t>
      </w:r>
      <w:r>
        <w:rPr>
          <w:rFonts w:eastAsia="Times New Roman"/>
          <w:b/>
          <w:color w:val="000000"/>
          <w:sz w:val="20"/>
          <w:highlight w:val="none"/>
          <w:lang w:val="ru-RU"/>
        </w:rPr>
        <w:t xml:space="preserve"> </w:t>
      </w:r>
      <w:r>
        <w:rPr>
          <w:szCs w:val="24"/>
          <w:highlight w:val="none"/>
          <w:lang w:val="ru-RU" w:eastAsia="en-US"/>
        </w:rPr>
        <w:t>м</w:t>
      </w:r>
      <w:r>
        <w:rPr>
          <w:szCs w:val="24"/>
          <w:highlight w:val="none"/>
          <w:vertAlign w:val="superscript"/>
          <w:lang w:val="ru-RU" w:eastAsia="en-US"/>
        </w:rPr>
        <w:t>3</w:t>
      </w:r>
      <w:r>
        <w:rPr>
          <w:szCs w:val="24"/>
          <w:highlight w:val="none"/>
          <w:lang w:val="ru-RU" w:eastAsia="en-US"/>
        </w:rPr>
        <w:t xml:space="preserve">/сут </w:t>
      </w:r>
      <w:r>
        <w:rPr>
          <w:szCs w:val="24"/>
          <w:highlight w:val="none"/>
          <w:lang w:val="ru-RU" w:eastAsia="en-US"/>
        </w:rPr>
        <w:br w:type="textWrapping"/>
      </w:r>
      <w:r>
        <w:rPr>
          <w:szCs w:val="24"/>
          <w:highlight w:val="none"/>
          <w:lang w:val="ru-RU" w:eastAsia="en-US"/>
        </w:rPr>
        <w:t>(12,03 м</w:t>
      </w:r>
      <w:r>
        <w:rPr>
          <w:szCs w:val="24"/>
          <w:highlight w:val="none"/>
          <w:vertAlign w:val="superscript"/>
          <w:lang w:val="ru-RU" w:eastAsia="en-US"/>
        </w:rPr>
        <w:t>3</w:t>
      </w:r>
      <w:r>
        <w:rPr>
          <w:szCs w:val="24"/>
          <w:highlight w:val="none"/>
          <w:lang w:val="ru-RU" w:eastAsia="en-US"/>
        </w:rPr>
        <w:t>/ч).</w:t>
      </w:r>
    </w:p>
    <w:p>
      <w:pPr>
        <w:spacing w:after="0" w:line="300" w:lineRule="auto"/>
        <w:ind w:firstLine="709"/>
        <w:contextualSpacing/>
        <w:jc w:val="both"/>
        <w:rPr>
          <w:rFonts w:ascii="Times New Roman" w:hAnsi="Times New Roman"/>
          <w:bCs/>
          <w:sz w:val="24"/>
          <w:szCs w:val="24"/>
          <w:highlight w:val="none"/>
        </w:rPr>
      </w:pPr>
      <w:r>
        <w:rPr>
          <w:rFonts w:ascii="Times New Roman" w:hAnsi="Times New Roman"/>
          <w:bCs/>
          <w:sz w:val="24"/>
          <w:szCs w:val="24"/>
          <w:highlight w:val="none"/>
        </w:rPr>
        <w:t>Диаметры проектируемых трубопроводов принимаются по гидравлическому расчету на следующей стадии проектирования. Трубопроводы канализации прокладывать из полиэтиленовых труб по ГОСТ 18599-2001 «технические». Смотровые колодцы на линиях хозяйственно-бытовой канализации устанавливать в каждой точке присоединения, при изменении направления, уклона, диаметра. На прямых участках колодцы устанавливать в зависимости от диаметра труб: для Ø 160 мм через 35 м, для Ø 200-450 мм — через каждые 50 м, для обеспечения надлежащего обслуживания трубопроводов. При наличии в подвальных помещениях санитарных приборов установить на канализационных выпусках автоматическую запорную арматуру во избежание подтопления подвалов в период подъема воды в водных потоках или засоров в магистральных системах водоотведения.</w:t>
      </w:r>
    </w:p>
    <w:p>
      <w:pPr>
        <w:spacing w:after="0" w:line="300" w:lineRule="auto"/>
        <w:ind w:firstLine="709"/>
        <w:contextualSpacing/>
        <w:jc w:val="both"/>
        <w:rPr>
          <w:rFonts w:ascii="Times New Roman" w:hAnsi="Times New Roman"/>
          <w:sz w:val="24"/>
          <w:szCs w:val="24"/>
          <w:highlight w:val="none"/>
        </w:rPr>
      </w:pPr>
      <w:r>
        <w:rPr>
          <w:rFonts w:ascii="Times New Roman" w:hAnsi="Times New Roman"/>
          <w:sz w:val="24"/>
          <w:szCs w:val="24"/>
          <w:highlight w:val="none"/>
        </w:rPr>
        <w:t>Проектом предусматривается:</w:t>
      </w:r>
    </w:p>
    <w:p>
      <w:pPr>
        <w:numPr>
          <w:ilvl w:val="0"/>
          <w:numId w:val="16"/>
        </w:numPr>
        <w:tabs>
          <w:tab w:val="left" w:pos="284"/>
        </w:tabs>
        <w:spacing w:after="0" w:line="300" w:lineRule="auto"/>
        <w:ind w:left="0" w:right="-285" w:firstLine="426"/>
        <w:jc w:val="both"/>
        <w:rPr>
          <w:rFonts w:ascii="Times New Roman" w:hAnsi="Times New Roman"/>
          <w:sz w:val="24"/>
          <w:szCs w:val="24"/>
          <w:highlight w:val="none"/>
        </w:rPr>
      </w:pPr>
      <w:r>
        <w:rPr>
          <w:rFonts w:ascii="Times New Roman" w:hAnsi="Times New Roman"/>
          <w:sz w:val="24"/>
          <w:szCs w:val="24"/>
          <w:highlight w:val="none"/>
        </w:rPr>
        <w:t>строительство сетей бытовой канализации, протяженностью 6,567 км (в т.ч. напорных – 0,945 км);</w:t>
      </w:r>
    </w:p>
    <w:p>
      <w:pPr>
        <w:numPr>
          <w:ilvl w:val="0"/>
          <w:numId w:val="16"/>
        </w:numPr>
        <w:tabs>
          <w:tab w:val="left" w:pos="284"/>
        </w:tabs>
        <w:spacing w:after="0" w:line="300" w:lineRule="auto"/>
        <w:ind w:left="0" w:right="-285" w:firstLine="426"/>
        <w:jc w:val="both"/>
        <w:rPr>
          <w:rFonts w:ascii="Times New Roman" w:hAnsi="Times New Roman"/>
          <w:sz w:val="24"/>
          <w:szCs w:val="24"/>
          <w:highlight w:val="none"/>
        </w:rPr>
      </w:pPr>
      <w:r>
        <w:rPr>
          <w:rFonts w:ascii="Times New Roman" w:hAnsi="Times New Roman"/>
          <w:sz w:val="24"/>
          <w:szCs w:val="24"/>
          <w:highlight w:val="none"/>
        </w:rPr>
        <w:t>строительство канализационной насосной станции.</w:t>
      </w:r>
    </w:p>
    <w:p>
      <w:pPr>
        <w:tabs>
          <w:tab w:val="left" w:pos="2558"/>
        </w:tabs>
        <w:autoSpaceDE w:val="0"/>
        <w:autoSpaceDN w:val="0"/>
        <w:adjustRightInd w:val="0"/>
        <w:spacing w:after="0" w:line="300" w:lineRule="auto"/>
        <w:ind w:firstLine="709"/>
        <w:contextualSpacing/>
        <w:rPr>
          <w:rFonts w:ascii="Times New Roman" w:hAnsi="Times New Roman"/>
          <w:b/>
          <w:bCs/>
          <w:sz w:val="24"/>
          <w:szCs w:val="24"/>
          <w:highlight w:val="none"/>
        </w:rPr>
      </w:pPr>
      <w:r>
        <w:rPr>
          <w:rFonts w:ascii="Times New Roman" w:hAnsi="Times New Roman"/>
          <w:b/>
          <w:bCs/>
          <w:sz w:val="24"/>
          <w:szCs w:val="24"/>
          <w:highlight w:val="none"/>
        </w:rPr>
        <w:t>Дождевая канализация</w:t>
      </w:r>
    </w:p>
    <w:p>
      <w:pPr>
        <w:spacing w:after="0" w:line="300" w:lineRule="auto"/>
        <w:ind w:firstLine="709"/>
        <w:contextualSpacing/>
        <w:jc w:val="both"/>
        <w:rPr>
          <w:rStyle w:val="65"/>
          <w:bCs/>
          <w:sz w:val="24"/>
          <w:szCs w:val="24"/>
          <w:highlight w:val="none"/>
          <w:shd w:val="clear" w:color="auto" w:fill="auto"/>
        </w:rPr>
      </w:pPr>
      <w:bookmarkStart w:id="34" w:name="_Toc438736583"/>
      <w:r>
        <w:rPr>
          <w:rFonts w:ascii="Times New Roman" w:hAnsi="Times New Roman"/>
          <w:bCs/>
          <w:sz w:val="24"/>
          <w:szCs w:val="24"/>
          <w:highlight w:val="none"/>
        </w:rPr>
        <w:t>Организация поверхностного водоотвода планируемой территории решается при помощи открытой системы водостоков, прокладываемой вдоль проектируемых проездов, с учетом вертикальной планировки и благоустройства. Водоотведение дождевых сточных вод проектом предусматривается поверхностным отводом с помощью ливневых лотков с дальнейшим выпуском на грунт.</w:t>
      </w:r>
      <w:bookmarkEnd w:id="34"/>
    </w:p>
    <w:p>
      <w:pPr>
        <w:pStyle w:val="4"/>
        <w:spacing w:before="0" w:after="0" w:line="300" w:lineRule="auto"/>
        <w:ind w:firstLine="709"/>
        <w:contextualSpacing/>
        <w:jc w:val="both"/>
        <w:rPr>
          <w:rFonts w:ascii="Times New Roman" w:hAnsi="Times New Roman"/>
          <w:sz w:val="24"/>
          <w:szCs w:val="24"/>
          <w:highlight w:val="none"/>
        </w:rPr>
      </w:pPr>
      <w:r>
        <w:rPr>
          <w:rFonts w:ascii="Times New Roman" w:hAnsi="Times New Roman"/>
          <w:sz w:val="24"/>
          <w:szCs w:val="24"/>
          <w:highlight w:val="none"/>
        </w:rPr>
        <w:t>ТЕПЛОСНАБЖЕНИЕ</w:t>
      </w:r>
    </w:p>
    <w:p>
      <w:pPr>
        <w:spacing w:after="0" w:line="300" w:lineRule="auto"/>
        <w:ind w:firstLine="709"/>
        <w:jc w:val="both"/>
        <w:rPr>
          <w:rFonts w:ascii="Times New Roman" w:hAnsi="Times New Roman"/>
          <w:sz w:val="24"/>
          <w:szCs w:val="24"/>
          <w:highlight w:val="none"/>
        </w:rPr>
      </w:pPr>
      <w:r>
        <w:rPr>
          <w:rFonts w:ascii="Times New Roman" w:hAnsi="Times New Roman"/>
          <w:sz w:val="24"/>
          <w:szCs w:val="24"/>
          <w:highlight w:val="none"/>
        </w:rPr>
        <w:t>Раздел выполнен с учетом требований:</w:t>
      </w:r>
    </w:p>
    <w:p>
      <w:pPr>
        <w:pStyle w:val="22"/>
        <w:widowControl w:val="0"/>
        <w:numPr>
          <w:ilvl w:val="0"/>
          <w:numId w:val="17"/>
        </w:numPr>
        <w:spacing w:after="0" w:line="300" w:lineRule="auto"/>
        <w:ind w:left="0" w:firstLine="425"/>
        <w:jc w:val="both"/>
        <w:rPr>
          <w:rFonts w:ascii="Times New Roman" w:hAnsi="Times New Roman"/>
          <w:sz w:val="24"/>
          <w:szCs w:val="24"/>
          <w:highlight w:val="none"/>
          <w:lang w:eastAsia="ru-RU"/>
        </w:rPr>
      </w:pPr>
      <w:r>
        <w:rPr>
          <w:rFonts w:ascii="Times New Roman" w:hAnsi="Times New Roman"/>
          <w:sz w:val="24"/>
          <w:szCs w:val="24"/>
          <w:highlight w:val="none"/>
          <w:lang w:eastAsia="ru-RU"/>
        </w:rPr>
        <w:t>Федеральный закон от 27.07.2010 № 190-ФЗ «О теплоснабжении»;</w:t>
      </w:r>
    </w:p>
    <w:p>
      <w:pPr>
        <w:pStyle w:val="22"/>
        <w:widowControl w:val="0"/>
        <w:numPr>
          <w:ilvl w:val="0"/>
          <w:numId w:val="17"/>
        </w:numPr>
        <w:spacing w:after="0" w:line="300" w:lineRule="auto"/>
        <w:ind w:left="0" w:firstLine="425"/>
        <w:jc w:val="both"/>
        <w:rPr>
          <w:rFonts w:ascii="Times New Roman" w:hAnsi="Times New Roman"/>
          <w:sz w:val="24"/>
          <w:szCs w:val="24"/>
          <w:highlight w:val="none"/>
          <w:lang w:eastAsia="ru-RU"/>
        </w:rPr>
      </w:pPr>
      <w:r>
        <w:rPr>
          <w:rFonts w:ascii="Times New Roman" w:hAnsi="Times New Roman"/>
          <w:sz w:val="24"/>
          <w:szCs w:val="24"/>
          <w:highlight w:val="none"/>
          <w:lang w:eastAsia="ru-RU"/>
        </w:rPr>
        <w:t>СП 89.13330.2016. Свод правил. Котельные установки. Актуализированная редакция СНиП II-35-76;</w:t>
      </w:r>
    </w:p>
    <w:p>
      <w:pPr>
        <w:pStyle w:val="22"/>
        <w:widowControl w:val="0"/>
        <w:numPr>
          <w:ilvl w:val="0"/>
          <w:numId w:val="17"/>
        </w:numPr>
        <w:spacing w:after="0" w:line="300" w:lineRule="auto"/>
        <w:ind w:left="0" w:firstLine="425"/>
        <w:jc w:val="both"/>
        <w:rPr>
          <w:rFonts w:ascii="Times New Roman" w:hAnsi="Times New Roman"/>
          <w:sz w:val="24"/>
          <w:szCs w:val="24"/>
          <w:highlight w:val="none"/>
          <w:lang w:eastAsia="ru-RU"/>
        </w:rPr>
      </w:pPr>
      <w:r>
        <w:rPr>
          <w:rFonts w:ascii="Times New Roman" w:hAnsi="Times New Roman"/>
          <w:sz w:val="24"/>
          <w:szCs w:val="24"/>
          <w:highlight w:val="none"/>
          <w:lang w:eastAsia="ru-RU"/>
        </w:rPr>
        <w:t xml:space="preserve">СП 124.13330.2012. Свод правил. Тепловые сети. Актуализированная редакция </w:t>
      </w:r>
      <w:r>
        <w:rPr>
          <w:rFonts w:ascii="Times New Roman" w:hAnsi="Times New Roman"/>
          <w:sz w:val="24"/>
          <w:szCs w:val="24"/>
          <w:highlight w:val="none"/>
          <w:lang w:eastAsia="ru-RU"/>
        </w:rPr>
        <w:br w:type="textWrapping"/>
      </w:r>
      <w:r>
        <w:rPr>
          <w:rFonts w:ascii="Times New Roman" w:hAnsi="Times New Roman"/>
          <w:sz w:val="24"/>
          <w:szCs w:val="24"/>
          <w:highlight w:val="none"/>
          <w:lang w:eastAsia="ru-RU"/>
        </w:rPr>
        <w:t>СНиП 41-02-2003;</w:t>
      </w:r>
    </w:p>
    <w:p>
      <w:pPr>
        <w:pStyle w:val="22"/>
        <w:widowControl w:val="0"/>
        <w:numPr>
          <w:ilvl w:val="0"/>
          <w:numId w:val="17"/>
        </w:numPr>
        <w:spacing w:after="0" w:line="300" w:lineRule="auto"/>
        <w:ind w:left="0" w:firstLine="425"/>
        <w:jc w:val="both"/>
        <w:rPr>
          <w:rFonts w:ascii="Times New Roman" w:hAnsi="Times New Roman"/>
          <w:sz w:val="24"/>
          <w:szCs w:val="24"/>
          <w:highlight w:val="none"/>
          <w:lang w:eastAsia="ru-RU"/>
        </w:rPr>
      </w:pPr>
      <w:r>
        <w:rPr>
          <w:rFonts w:ascii="Times New Roman" w:hAnsi="Times New Roman"/>
          <w:sz w:val="24"/>
          <w:szCs w:val="24"/>
          <w:highlight w:val="none"/>
          <w:lang w:eastAsia="ru-RU"/>
        </w:rPr>
        <w:t>СП 60.13330.2016. Свод правил. Отопление, вентиляция и кондиционирование воздуха. Актуализированная редакция СНиП 41-01-2003;</w:t>
      </w:r>
    </w:p>
    <w:p>
      <w:pPr>
        <w:pStyle w:val="22"/>
        <w:widowControl w:val="0"/>
        <w:numPr>
          <w:ilvl w:val="0"/>
          <w:numId w:val="17"/>
        </w:numPr>
        <w:spacing w:after="0" w:line="300" w:lineRule="auto"/>
        <w:ind w:left="0" w:firstLine="425"/>
        <w:jc w:val="both"/>
        <w:rPr>
          <w:rFonts w:ascii="Times New Roman" w:hAnsi="Times New Roman"/>
          <w:sz w:val="24"/>
          <w:szCs w:val="24"/>
          <w:highlight w:val="none"/>
          <w:lang w:eastAsia="ru-RU"/>
        </w:rPr>
      </w:pPr>
      <w:r>
        <w:rPr>
          <w:rFonts w:ascii="Times New Roman" w:hAnsi="Times New Roman"/>
          <w:sz w:val="24"/>
          <w:szCs w:val="24"/>
          <w:highlight w:val="none"/>
          <w:lang w:eastAsia="ru-RU"/>
        </w:rPr>
        <w:t>СП 41-104-2000. Свод правил по проектированию и строительству. Проектирование автономных источников теплоснабжения.</w:t>
      </w:r>
    </w:p>
    <w:p>
      <w:pPr>
        <w:pStyle w:val="22"/>
        <w:spacing w:after="0" w:line="300" w:lineRule="auto"/>
        <w:ind w:left="0" w:firstLine="709"/>
        <w:rPr>
          <w:rFonts w:ascii="Times New Roman" w:hAnsi="Times New Roman" w:eastAsia="Times New Roman"/>
          <w:b/>
          <w:sz w:val="24"/>
          <w:szCs w:val="24"/>
          <w:highlight w:val="none"/>
          <w:lang w:eastAsia="ru-RU"/>
        </w:rPr>
      </w:pPr>
      <w:r>
        <w:rPr>
          <w:rFonts w:ascii="Times New Roman" w:hAnsi="Times New Roman" w:eastAsia="Times New Roman"/>
          <w:b/>
          <w:sz w:val="24"/>
          <w:szCs w:val="24"/>
          <w:highlight w:val="none"/>
          <w:lang w:eastAsia="ru-RU"/>
        </w:rPr>
        <w:t>Существующее положение</w:t>
      </w:r>
    </w:p>
    <w:p>
      <w:pPr>
        <w:spacing w:after="0" w:line="300" w:lineRule="auto"/>
        <w:ind w:firstLine="709"/>
        <w:jc w:val="both"/>
        <w:rPr>
          <w:rFonts w:ascii="Times New Roman" w:hAnsi="Times New Roman" w:eastAsia="Times New Roman"/>
          <w:sz w:val="24"/>
          <w:szCs w:val="24"/>
          <w:highlight w:val="none"/>
          <w:lang w:eastAsia="ru-RU"/>
        </w:rPr>
      </w:pPr>
      <w:bookmarkStart w:id="35" w:name="_Toc490642995"/>
      <w:r>
        <w:rPr>
          <w:rFonts w:ascii="Times New Roman" w:hAnsi="Times New Roman"/>
          <w:bCs/>
          <w:sz w:val="24"/>
          <w:szCs w:val="24"/>
          <w:highlight w:val="none"/>
        </w:rPr>
        <w:t>На момент разработки настоящего проекта планировки территории и проекта межевания территории квартала № 15 пгт. Ноглики муниципального образования «Городской округ Ногликский» на территории от</w:t>
      </w:r>
      <w:r>
        <w:rPr>
          <w:rFonts w:ascii="Times New Roman" w:hAnsi="Times New Roman" w:eastAsia="Times New Roman"/>
          <w:sz w:val="24"/>
          <w:szCs w:val="24"/>
          <w:highlight w:val="none"/>
          <w:lang w:eastAsia="ru-RU"/>
        </w:rPr>
        <w:t>сутствуют сети и объекты теплоснабжения.</w:t>
      </w:r>
    </w:p>
    <w:p>
      <w:pPr>
        <w:spacing w:after="0" w:line="300" w:lineRule="auto"/>
        <w:ind w:firstLine="709"/>
        <w:jc w:val="both"/>
        <w:rPr>
          <w:rFonts w:ascii="Times New Roman" w:hAnsi="Times New Roman"/>
          <w:b/>
          <w:sz w:val="24"/>
          <w:szCs w:val="24"/>
          <w:highlight w:val="none"/>
        </w:rPr>
      </w:pPr>
      <w:r>
        <w:rPr>
          <w:rFonts w:ascii="Times New Roman" w:hAnsi="Times New Roman"/>
          <w:b/>
          <w:sz w:val="24"/>
          <w:szCs w:val="24"/>
          <w:highlight w:val="none"/>
        </w:rPr>
        <w:t>Проектные решения</w:t>
      </w:r>
    </w:p>
    <w:p>
      <w:pPr>
        <w:spacing w:after="0" w:line="300" w:lineRule="auto"/>
        <w:ind w:firstLine="709"/>
        <w:jc w:val="both"/>
        <w:rPr>
          <w:rFonts w:ascii="Times New Roman" w:hAnsi="Times New Roman"/>
          <w:sz w:val="24"/>
          <w:szCs w:val="24"/>
          <w:highlight w:val="none"/>
          <w:lang w:eastAsia="ru-RU"/>
        </w:rPr>
      </w:pPr>
      <w:r>
        <w:rPr>
          <w:rFonts w:ascii="Times New Roman" w:hAnsi="Times New Roman"/>
          <w:sz w:val="24"/>
          <w:szCs w:val="24"/>
          <w:highlight w:val="none"/>
        </w:rPr>
        <w:t xml:space="preserve">Проектом планировки территории и проектом межевания территории квартала № 15 пгт. Ноглики муниципального образования «Городской округ Ногликский», отопление и горячее водоснабжение планируемых объектов (административно-общественных зданий и ИЖС) предлагается </w:t>
      </w:r>
      <w:r>
        <w:rPr>
          <w:rFonts w:ascii="Times New Roman" w:hAnsi="Times New Roman"/>
          <w:sz w:val="24"/>
          <w:szCs w:val="24"/>
          <w:highlight w:val="none"/>
          <w:lang w:eastAsia="ru-RU"/>
        </w:rPr>
        <w:t>осуществлять от индивидуальных источников теплоснабжения (двухконтурные котлы, печи и встроенные миникотельные), работающих на газовом топливе.</w:t>
      </w:r>
    </w:p>
    <w:p>
      <w:pPr>
        <w:pStyle w:val="4"/>
        <w:spacing w:before="0" w:after="0" w:line="300" w:lineRule="auto"/>
        <w:ind w:firstLine="709"/>
        <w:contextualSpacing/>
        <w:jc w:val="both"/>
        <w:rPr>
          <w:rFonts w:ascii="Times New Roman" w:hAnsi="Times New Roman"/>
          <w:sz w:val="24"/>
          <w:szCs w:val="24"/>
          <w:highlight w:val="none"/>
        </w:rPr>
      </w:pPr>
      <w:r>
        <w:rPr>
          <w:rFonts w:ascii="Times New Roman" w:hAnsi="Times New Roman"/>
          <w:sz w:val="24"/>
          <w:szCs w:val="24"/>
          <w:highlight w:val="none"/>
        </w:rPr>
        <w:t>ГАЗОСНАБЖЕНИЕ</w:t>
      </w:r>
      <w:bookmarkEnd w:id="35"/>
    </w:p>
    <w:p>
      <w:pPr>
        <w:spacing w:after="0" w:line="300" w:lineRule="auto"/>
        <w:ind w:firstLine="709"/>
        <w:jc w:val="both"/>
        <w:rPr>
          <w:rFonts w:ascii="Times New Roman" w:hAnsi="Times New Roman"/>
          <w:sz w:val="24"/>
          <w:szCs w:val="24"/>
          <w:highlight w:val="none"/>
        </w:rPr>
      </w:pPr>
      <w:r>
        <w:rPr>
          <w:rFonts w:ascii="Times New Roman" w:hAnsi="Times New Roman"/>
          <w:sz w:val="24"/>
          <w:szCs w:val="24"/>
          <w:highlight w:val="none"/>
        </w:rPr>
        <w:t>Раздел выполнен с учетом требований:</w:t>
      </w:r>
    </w:p>
    <w:p>
      <w:pPr>
        <w:pStyle w:val="22"/>
        <w:numPr>
          <w:ilvl w:val="0"/>
          <w:numId w:val="18"/>
        </w:numPr>
        <w:tabs>
          <w:tab w:val="left" w:pos="709"/>
        </w:tabs>
        <w:spacing w:after="0" w:line="300" w:lineRule="auto"/>
        <w:ind w:left="0" w:firstLine="425"/>
        <w:jc w:val="both"/>
        <w:rPr>
          <w:rFonts w:ascii="Times New Roman" w:hAnsi="Times New Roman"/>
          <w:sz w:val="24"/>
          <w:szCs w:val="24"/>
          <w:highlight w:val="none"/>
        </w:rPr>
      </w:pPr>
      <w:r>
        <w:rPr>
          <w:rFonts w:ascii="Times New Roman" w:hAnsi="Times New Roman"/>
          <w:sz w:val="24"/>
          <w:szCs w:val="24"/>
          <w:highlight w:val="none"/>
        </w:rPr>
        <w:t>Федеральный закон от 31.03.1999 № 69-ФЗ «О газоснабжении в Российской Федерации»;</w:t>
      </w:r>
    </w:p>
    <w:p>
      <w:pPr>
        <w:pStyle w:val="22"/>
        <w:numPr>
          <w:ilvl w:val="0"/>
          <w:numId w:val="18"/>
        </w:numPr>
        <w:tabs>
          <w:tab w:val="left" w:pos="709"/>
        </w:tabs>
        <w:spacing w:after="0" w:line="300" w:lineRule="auto"/>
        <w:ind w:left="0" w:firstLine="425"/>
        <w:jc w:val="both"/>
        <w:rPr>
          <w:rFonts w:ascii="Times New Roman" w:hAnsi="Times New Roman"/>
          <w:sz w:val="24"/>
          <w:szCs w:val="24"/>
          <w:highlight w:val="none"/>
        </w:rPr>
      </w:pPr>
      <w:r>
        <w:rPr>
          <w:rFonts w:ascii="Times New Roman" w:hAnsi="Times New Roman"/>
          <w:sz w:val="24"/>
          <w:szCs w:val="24"/>
          <w:highlight w:val="none"/>
        </w:rPr>
        <w:t>СП 62.13330.2011*. Свод правил. Газораспределительные системы. Актуализированная редакция СНиП 42-01-2002;</w:t>
      </w:r>
    </w:p>
    <w:p>
      <w:pPr>
        <w:pStyle w:val="22"/>
        <w:numPr>
          <w:ilvl w:val="0"/>
          <w:numId w:val="18"/>
        </w:numPr>
        <w:tabs>
          <w:tab w:val="left" w:pos="709"/>
        </w:tabs>
        <w:spacing w:after="0" w:line="300" w:lineRule="auto"/>
        <w:ind w:left="0" w:firstLine="425"/>
        <w:jc w:val="both"/>
        <w:rPr>
          <w:rFonts w:ascii="Times New Roman" w:hAnsi="Times New Roman"/>
          <w:sz w:val="24"/>
          <w:szCs w:val="24"/>
          <w:highlight w:val="none"/>
        </w:rPr>
      </w:pPr>
      <w:r>
        <w:rPr>
          <w:rFonts w:ascii="Times New Roman" w:hAnsi="Times New Roman"/>
          <w:sz w:val="24"/>
          <w:szCs w:val="24"/>
          <w:highlight w:val="none"/>
        </w:rPr>
        <w:t>СП 42-101-2003. Свод правил по проектированию и строительству. Общие положения по проектированию и строительству газораспределительных систем из металлических и полиэтиленовых труб;</w:t>
      </w:r>
    </w:p>
    <w:p>
      <w:pPr>
        <w:pStyle w:val="22"/>
        <w:numPr>
          <w:ilvl w:val="0"/>
          <w:numId w:val="18"/>
        </w:numPr>
        <w:tabs>
          <w:tab w:val="left" w:pos="709"/>
        </w:tabs>
        <w:spacing w:after="0" w:line="300" w:lineRule="auto"/>
        <w:ind w:left="0" w:firstLine="425"/>
        <w:jc w:val="both"/>
        <w:rPr>
          <w:rFonts w:ascii="Times New Roman" w:hAnsi="Times New Roman"/>
          <w:sz w:val="24"/>
          <w:szCs w:val="24"/>
          <w:highlight w:val="none"/>
        </w:rPr>
      </w:pPr>
      <w:r>
        <w:rPr>
          <w:rFonts w:ascii="Times New Roman" w:hAnsi="Times New Roman"/>
          <w:sz w:val="24"/>
          <w:szCs w:val="24"/>
          <w:highlight w:val="none"/>
        </w:rPr>
        <w:t>СП 41-104-2000. Свод правил по проектированию и строительству. Проектирование автономных источников теплоснабжения.</w:t>
      </w:r>
    </w:p>
    <w:p>
      <w:pPr>
        <w:spacing w:after="0" w:line="300" w:lineRule="auto"/>
        <w:ind w:firstLine="709"/>
        <w:jc w:val="both"/>
        <w:rPr>
          <w:rFonts w:ascii="Times New Roman" w:hAnsi="Times New Roman"/>
          <w:b/>
          <w:sz w:val="24"/>
          <w:szCs w:val="24"/>
          <w:highlight w:val="none"/>
        </w:rPr>
      </w:pPr>
      <w:r>
        <w:rPr>
          <w:rFonts w:ascii="Times New Roman" w:hAnsi="Times New Roman"/>
          <w:b/>
          <w:sz w:val="24"/>
          <w:szCs w:val="24"/>
          <w:highlight w:val="none"/>
        </w:rPr>
        <w:t>Существующее положение</w:t>
      </w:r>
    </w:p>
    <w:p>
      <w:pPr>
        <w:spacing w:after="0" w:line="300" w:lineRule="auto"/>
        <w:ind w:firstLine="709"/>
        <w:jc w:val="both"/>
        <w:rPr>
          <w:rFonts w:ascii="Times New Roman" w:hAnsi="Times New Roman" w:eastAsia="Times New Roman"/>
          <w:sz w:val="24"/>
          <w:szCs w:val="24"/>
          <w:highlight w:val="none"/>
          <w:lang w:eastAsia="ru-RU"/>
        </w:rPr>
      </w:pPr>
      <w:r>
        <w:rPr>
          <w:rFonts w:ascii="Times New Roman" w:hAnsi="Times New Roman"/>
          <w:bCs/>
          <w:sz w:val="24"/>
          <w:szCs w:val="24"/>
          <w:highlight w:val="none"/>
        </w:rPr>
        <w:t>На момент разработки настоящего проекта планировки территории и проекта межевания территории квартала № 15 пгт. Ноглики муниципального образования «Городской округ Ногликский»</w:t>
      </w:r>
      <w:r>
        <w:rPr>
          <w:rFonts w:ascii="Times New Roman" w:hAnsi="Times New Roman"/>
          <w:sz w:val="24"/>
          <w:szCs w:val="24"/>
          <w:highlight w:val="none"/>
        </w:rPr>
        <w:t xml:space="preserve">, </w:t>
      </w:r>
      <w:r>
        <w:rPr>
          <w:rFonts w:ascii="Times New Roman" w:hAnsi="Times New Roman" w:eastAsia="Times New Roman"/>
          <w:sz w:val="24"/>
          <w:szCs w:val="24"/>
          <w:highlight w:val="none"/>
          <w:lang w:eastAsia="ru-RU"/>
        </w:rPr>
        <w:t>на территории присутствуют сети газоснабжения среднего давления (Ру=0,005-0,3 Мпа) и низкого давления (Ру не более 0,005 МПа) Общая протяженность сетей газоснабжения составляет 6,380 км, в том числе среднего давления - 0,920км и низкого давления – 5,460 км.</w:t>
      </w:r>
    </w:p>
    <w:p>
      <w:pPr>
        <w:spacing w:after="0" w:line="300" w:lineRule="auto"/>
        <w:ind w:firstLine="709"/>
        <w:jc w:val="both"/>
        <w:rPr>
          <w:rFonts w:ascii="Times New Roman" w:hAnsi="Times New Roman"/>
          <w:b/>
          <w:sz w:val="24"/>
          <w:szCs w:val="24"/>
          <w:highlight w:val="none"/>
          <w:lang w:eastAsia="ru-RU"/>
        </w:rPr>
      </w:pPr>
      <w:r>
        <w:rPr>
          <w:rFonts w:ascii="Times New Roman" w:hAnsi="Times New Roman"/>
          <w:b/>
          <w:sz w:val="24"/>
          <w:szCs w:val="24"/>
          <w:highlight w:val="none"/>
        </w:rPr>
        <w:t>Проектные решения</w:t>
      </w:r>
    </w:p>
    <w:p>
      <w:pPr>
        <w:spacing w:after="0" w:line="300" w:lineRule="auto"/>
        <w:ind w:firstLine="709"/>
        <w:jc w:val="both"/>
        <w:rPr>
          <w:rFonts w:ascii="Times New Roman" w:hAnsi="Times New Roman"/>
          <w:sz w:val="24"/>
          <w:szCs w:val="24"/>
          <w:highlight w:val="none"/>
          <w:lang w:eastAsia="ru-RU"/>
        </w:rPr>
      </w:pPr>
      <w:r>
        <w:rPr>
          <w:rFonts w:ascii="Times New Roman" w:hAnsi="Times New Roman"/>
          <w:sz w:val="24"/>
          <w:szCs w:val="24"/>
          <w:highlight w:val="none"/>
        </w:rPr>
        <w:t>Проектом планировки территории и проектом межевания территории квартала № 15 пгт. Ноглики муниципального образования «Городской округ Ногликский», предлагается развитие централизованной системы газоснабжения, с подключением проектируемых многоквартирных и индивидуальных жилых домов к центральным сетям газоснабжения низкого давления. Так же необходимо произвести перекладку сетей газоснабжения, при попадании их под проектируемые объекты жилищного строительства и дорог. Для реализации этого мероприятия необходимо осуществить:</w:t>
      </w:r>
    </w:p>
    <w:p>
      <w:pPr>
        <w:numPr>
          <w:ilvl w:val="0"/>
          <w:numId w:val="19"/>
        </w:numPr>
        <w:spacing w:after="0" w:line="300" w:lineRule="auto"/>
        <w:jc w:val="both"/>
        <w:rPr>
          <w:rFonts w:ascii="Times New Roman" w:hAnsi="Times New Roman" w:eastAsia="Times New Roman"/>
          <w:sz w:val="24"/>
          <w:szCs w:val="24"/>
          <w:highlight w:val="none"/>
          <w:lang w:eastAsia="ru-RU"/>
        </w:rPr>
      </w:pPr>
      <w:r>
        <w:rPr>
          <w:rFonts w:ascii="Times New Roman" w:hAnsi="Times New Roman" w:eastAsia="Times New Roman"/>
          <w:sz w:val="24"/>
          <w:szCs w:val="24"/>
          <w:highlight w:val="none"/>
          <w:lang w:eastAsia="ru-RU"/>
        </w:rPr>
        <w:t>демонтаж газопроводов среднего давления, протяженностью – 0,740 км;</w:t>
      </w:r>
    </w:p>
    <w:p>
      <w:pPr>
        <w:numPr>
          <w:ilvl w:val="0"/>
          <w:numId w:val="19"/>
        </w:numPr>
        <w:spacing w:after="0" w:line="300" w:lineRule="auto"/>
        <w:jc w:val="both"/>
        <w:rPr>
          <w:rFonts w:ascii="Times New Roman" w:hAnsi="Times New Roman" w:eastAsia="Times New Roman"/>
          <w:sz w:val="24"/>
          <w:szCs w:val="24"/>
          <w:highlight w:val="none"/>
          <w:lang w:eastAsia="ru-RU"/>
        </w:rPr>
      </w:pPr>
      <w:r>
        <w:rPr>
          <w:rFonts w:ascii="Times New Roman" w:hAnsi="Times New Roman" w:eastAsia="Times New Roman"/>
          <w:sz w:val="24"/>
          <w:szCs w:val="24"/>
          <w:highlight w:val="none"/>
          <w:lang w:eastAsia="ru-RU"/>
        </w:rPr>
        <w:t>прокладка газопроводов среднего давления, протяженностью – 0,770 км.</w:t>
      </w:r>
    </w:p>
    <w:p>
      <w:pPr>
        <w:numPr>
          <w:ilvl w:val="0"/>
          <w:numId w:val="19"/>
        </w:numPr>
        <w:spacing w:after="0" w:line="300" w:lineRule="auto"/>
        <w:jc w:val="both"/>
        <w:rPr>
          <w:rFonts w:ascii="Times New Roman" w:hAnsi="Times New Roman" w:eastAsia="Times New Roman"/>
          <w:sz w:val="24"/>
          <w:szCs w:val="24"/>
          <w:highlight w:val="none"/>
          <w:lang w:eastAsia="ru-RU"/>
        </w:rPr>
      </w:pPr>
      <w:r>
        <w:rPr>
          <w:rFonts w:ascii="Times New Roman" w:hAnsi="Times New Roman" w:eastAsia="Times New Roman"/>
          <w:sz w:val="24"/>
          <w:szCs w:val="24"/>
          <w:highlight w:val="none"/>
          <w:lang w:eastAsia="ru-RU"/>
        </w:rPr>
        <w:t>демонтаж газопроводов низкого давления, протяженностью – 2,830 км;</w:t>
      </w:r>
    </w:p>
    <w:p>
      <w:pPr>
        <w:numPr>
          <w:ilvl w:val="0"/>
          <w:numId w:val="19"/>
        </w:numPr>
        <w:spacing w:after="0" w:line="300" w:lineRule="auto"/>
        <w:jc w:val="both"/>
        <w:rPr>
          <w:rFonts w:ascii="Times New Roman" w:hAnsi="Times New Roman" w:eastAsia="Times New Roman"/>
          <w:sz w:val="24"/>
          <w:szCs w:val="24"/>
          <w:highlight w:val="none"/>
          <w:lang w:eastAsia="ru-RU"/>
        </w:rPr>
      </w:pPr>
      <w:r>
        <w:rPr>
          <w:rFonts w:ascii="Times New Roman" w:hAnsi="Times New Roman" w:eastAsia="Times New Roman"/>
          <w:sz w:val="24"/>
          <w:szCs w:val="24"/>
          <w:highlight w:val="none"/>
          <w:lang w:eastAsia="ru-RU"/>
        </w:rPr>
        <w:t>прокладка газопроводов низкого давления, протяженностью – 5,040 км.</w:t>
      </w:r>
    </w:p>
    <w:p>
      <w:pPr>
        <w:spacing w:after="0" w:line="300" w:lineRule="auto"/>
        <w:ind w:firstLine="709"/>
        <w:jc w:val="both"/>
        <w:rPr>
          <w:rFonts w:ascii="Times New Roman" w:hAnsi="Times New Roman" w:eastAsia="Times New Roman"/>
          <w:sz w:val="24"/>
          <w:szCs w:val="24"/>
          <w:highlight w:val="none"/>
          <w:lang w:eastAsia="ru-RU"/>
        </w:rPr>
      </w:pPr>
      <w:r>
        <w:rPr>
          <w:rFonts w:ascii="Times New Roman" w:hAnsi="Times New Roman" w:eastAsia="Times New Roman"/>
          <w:sz w:val="24"/>
          <w:szCs w:val="24"/>
          <w:highlight w:val="none"/>
          <w:lang w:eastAsia="ru-RU"/>
        </w:rPr>
        <w:t>Прокладка газопровода предусматривается подземная с преодолением естественных преград, схема – тупиковая. При пересечении автомобильных дорог – подземная прокладка осуществляется в защитных футлярах (более детальная проработка осуществляется на стадии разработки рабочего проекта после получения технических условий в соответствующих инстанциях).</w:t>
      </w:r>
    </w:p>
    <w:p>
      <w:pPr>
        <w:spacing w:after="0" w:line="300" w:lineRule="auto"/>
        <w:ind w:firstLine="709"/>
        <w:jc w:val="both"/>
        <w:rPr>
          <w:rFonts w:ascii="Times New Roman" w:hAnsi="Times New Roman" w:eastAsia="Times New Roman"/>
          <w:sz w:val="24"/>
          <w:szCs w:val="24"/>
          <w:highlight w:val="none"/>
          <w:lang w:eastAsia="ru-RU"/>
        </w:rPr>
      </w:pPr>
      <w:r>
        <w:rPr>
          <w:rFonts w:ascii="Times New Roman" w:hAnsi="Times New Roman" w:eastAsia="Times New Roman"/>
          <w:sz w:val="24"/>
          <w:szCs w:val="24"/>
          <w:highlight w:val="none"/>
          <w:lang w:eastAsia="ru-RU"/>
        </w:rPr>
        <w:t>Газ на рассматриваемой территории предполагается использовать для нужд населения (пищеприготовление, отопление и ГВС) и как топливо для индивидуальных миникотельных.</w:t>
      </w:r>
    </w:p>
    <w:p>
      <w:pPr>
        <w:spacing w:after="0" w:line="300" w:lineRule="auto"/>
        <w:ind w:firstLine="709"/>
        <w:jc w:val="both"/>
        <w:rPr>
          <w:rFonts w:ascii="Times New Roman" w:hAnsi="Times New Roman"/>
          <w:sz w:val="24"/>
          <w:szCs w:val="24"/>
          <w:highlight w:val="none"/>
        </w:rPr>
      </w:pPr>
      <w:r>
        <w:rPr>
          <w:rFonts w:ascii="Times New Roman" w:hAnsi="Times New Roman" w:eastAsia="Times New Roman"/>
          <w:sz w:val="24"/>
          <w:szCs w:val="24"/>
          <w:highlight w:val="none"/>
          <w:lang w:eastAsia="ru-RU"/>
        </w:rPr>
        <w:t xml:space="preserve">Расходы газа для планируемых потребителей определены на основании норм проектирования и климатических условий по укрупненным показателям. </w:t>
      </w:r>
      <w:r>
        <w:rPr>
          <w:rFonts w:ascii="Times New Roman" w:hAnsi="Times New Roman"/>
          <w:sz w:val="24"/>
          <w:szCs w:val="24"/>
          <w:highlight w:val="none"/>
        </w:rPr>
        <w:t xml:space="preserve">Расчет потребления газа представлен в таблице 4. </w:t>
      </w:r>
    </w:p>
    <w:p>
      <w:pPr>
        <w:spacing w:after="0" w:line="300" w:lineRule="auto"/>
        <w:ind w:firstLine="284"/>
        <w:jc w:val="right"/>
        <w:rPr>
          <w:rFonts w:ascii="Times New Roman" w:hAnsi="Times New Roman"/>
          <w:sz w:val="24"/>
          <w:szCs w:val="24"/>
          <w:highlight w:val="none"/>
        </w:rPr>
      </w:pPr>
      <w:r>
        <w:rPr>
          <w:rFonts w:ascii="Times New Roman" w:hAnsi="Times New Roman"/>
          <w:sz w:val="24"/>
          <w:szCs w:val="24"/>
          <w:highlight w:val="none"/>
        </w:rPr>
        <w:t>Таблица 4</w:t>
      </w:r>
    </w:p>
    <w:p>
      <w:pPr>
        <w:spacing w:after="0" w:line="300" w:lineRule="auto"/>
        <w:ind w:firstLine="284"/>
        <w:jc w:val="center"/>
        <w:rPr>
          <w:rFonts w:ascii="Times New Roman" w:hAnsi="Times New Roman"/>
          <w:sz w:val="24"/>
          <w:szCs w:val="24"/>
          <w:highlight w:val="none"/>
        </w:rPr>
      </w:pPr>
      <w:r>
        <w:rPr>
          <w:rFonts w:ascii="Times New Roman" w:hAnsi="Times New Roman"/>
          <w:sz w:val="24"/>
          <w:szCs w:val="24"/>
          <w:highlight w:val="none"/>
        </w:rPr>
        <w:t>Расчет потребления газа</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5"/>
        <w:gridCol w:w="2696"/>
        <w:gridCol w:w="2699"/>
        <w:gridCol w:w="3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03" w:type="pct"/>
            <w:shd w:val="clear" w:color="auto" w:fill="auto"/>
            <w:vAlign w:val="center"/>
          </w:tcPr>
          <w:p>
            <w:pPr>
              <w:spacing w:after="0" w:line="240" w:lineRule="auto"/>
              <w:jc w:val="center"/>
              <w:rPr>
                <w:rFonts w:ascii="Times New Roman" w:hAnsi="Times New Roman" w:eastAsia="Times New Roman"/>
                <w:b/>
                <w:color w:val="000000"/>
                <w:sz w:val="20"/>
                <w:szCs w:val="20"/>
                <w:highlight w:val="none"/>
                <w:lang w:eastAsia="ru-RU"/>
              </w:rPr>
            </w:pPr>
            <w:r>
              <w:rPr>
                <w:rFonts w:ascii="Times New Roman" w:hAnsi="Times New Roman" w:eastAsia="Times New Roman"/>
                <w:b/>
                <w:color w:val="000000"/>
                <w:sz w:val="20"/>
                <w:szCs w:val="20"/>
                <w:highlight w:val="none"/>
                <w:lang w:eastAsia="ru-RU"/>
              </w:rPr>
              <w:t>№ п/п</w:t>
            </w:r>
          </w:p>
        </w:tc>
        <w:tc>
          <w:tcPr>
            <w:tcW w:w="1453" w:type="pct"/>
            <w:shd w:val="clear" w:color="auto" w:fill="auto"/>
            <w:vAlign w:val="center"/>
          </w:tcPr>
          <w:p>
            <w:pPr>
              <w:spacing w:after="0" w:line="240" w:lineRule="auto"/>
              <w:jc w:val="center"/>
              <w:rPr>
                <w:rFonts w:ascii="Times New Roman" w:hAnsi="Times New Roman" w:eastAsia="Times New Roman"/>
                <w:b/>
                <w:color w:val="000000"/>
                <w:sz w:val="20"/>
                <w:szCs w:val="20"/>
                <w:highlight w:val="none"/>
                <w:lang w:eastAsia="ru-RU"/>
              </w:rPr>
            </w:pPr>
            <w:r>
              <w:rPr>
                <w:rFonts w:ascii="Times New Roman" w:hAnsi="Times New Roman" w:eastAsia="Times New Roman"/>
                <w:b/>
                <w:color w:val="000000"/>
                <w:sz w:val="20"/>
                <w:szCs w:val="20"/>
                <w:highlight w:val="none"/>
                <w:lang w:eastAsia="ru-RU"/>
              </w:rPr>
              <w:t>Назначение</w:t>
            </w:r>
          </w:p>
        </w:tc>
        <w:tc>
          <w:tcPr>
            <w:tcW w:w="1454" w:type="pct"/>
            <w:shd w:val="clear" w:color="auto" w:fill="auto"/>
            <w:vAlign w:val="center"/>
          </w:tcPr>
          <w:p>
            <w:pPr>
              <w:spacing w:after="0" w:line="240" w:lineRule="auto"/>
              <w:rPr>
                <w:rFonts w:ascii="Times New Roman" w:hAnsi="Times New Roman" w:eastAsia="Times New Roman"/>
                <w:b/>
                <w:color w:val="000000"/>
                <w:sz w:val="20"/>
                <w:szCs w:val="20"/>
                <w:highlight w:val="none"/>
                <w:lang w:eastAsia="ru-RU"/>
              </w:rPr>
            </w:pPr>
            <w:r>
              <w:rPr>
                <w:rFonts w:ascii="Times New Roman" w:hAnsi="Times New Roman" w:eastAsia="Times New Roman"/>
                <w:b/>
                <w:color w:val="000000"/>
                <w:sz w:val="20"/>
                <w:szCs w:val="20"/>
                <w:highlight w:val="none"/>
                <w:lang w:eastAsia="ru-RU"/>
              </w:rPr>
              <w:t>Количество потребителей</w:t>
            </w:r>
          </w:p>
        </w:tc>
        <w:tc>
          <w:tcPr>
            <w:tcW w:w="1690" w:type="pct"/>
            <w:shd w:val="clear" w:color="auto" w:fill="auto"/>
            <w:vAlign w:val="center"/>
          </w:tcPr>
          <w:p>
            <w:pPr>
              <w:spacing w:after="0" w:line="240" w:lineRule="auto"/>
              <w:jc w:val="center"/>
              <w:rPr>
                <w:rFonts w:ascii="Times New Roman" w:hAnsi="Times New Roman" w:eastAsia="Times New Roman"/>
                <w:b/>
                <w:color w:val="000000"/>
                <w:sz w:val="20"/>
                <w:szCs w:val="20"/>
                <w:highlight w:val="none"/>
                <w:lang w:eastAsia="ru-RU"/>
              </w:rPr>
            </w:pPr>
            <w:r>
              <w:rPr>
                <w:rFonts w:ascii="Times New Roman" w:hAnsi="Times New Roman" w:eastAsia="Times New Roman"/>
                <w:b/>
                <w:color w:val="000000"/>
                <w:sz w:val="20"/>
                <w:szCs w:val="20"/>
                <w:highlight w:val="none"/>
                <w:lang w:eastAsia="ru-RU"/>
              </w:rPr>
              <w:t>Часовой расход газа, м3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03" w:type="pct"/>
            <w:shd w:val="clear" w:color="auto" w:fill="auto"/>
            <w:vAlign w:val="center"/>
          </w:tcPr>
          <w:p>
            <w:pPr>
              <w:spacing w:after="0" w:line="240" w:lineRule="auto"/>
              <w:jc w:val="center"/>
              <w:rPr>
                <w:rFonts w:ascii="Times New Roman" w:hAnsi="Times New Roman" w:eastAsia="Times New Roman"/>
                <w:b/>
                <w:color w:val="000000"/>
                <w:sz w:val="20"/>
                <w:szCs w:val="20"/>
                <w:highlight w:val="none"/>
                <w:lang w:eastAsia="ru-RU"/>
              </w:rPr>
            </w:pPr>
            <w:r>
              <w:rPr>
                <w:rFonts w:ascii="Times New Roman" w:hAnsi="Times New Roman" w:eastAsia="Times New Roman"/>
                <w:b/>
                <w:color w:val="000000"/>
                <w:sz w:val="20"/>
                <w:szCs w:val="20"/>
                <w:highlight w:val="none"/>
                <w:lang w:eastAsia="ru-RU"/>
              </w:rPr>
              <w:t>1</w:t>
            </w:r>
          </w:p>
        </w:tc>
        <w:tc>
          <w:tcPr>
            <w:tcW w:w="1453" w:type="pct"/>
            <w:shd w:val="clear" w:color="auto" w:fill="auto"/>
            <w:vAlign w:val="center"/>
          </w:tcPr>
          <w:p>
            <w:pPr>
              <w:spacing w:after="0" w:line="240" w:lineRule="auto"/>
              <w:jc w:val="center"/>
              <w:rPr>
                <w:rFonts w:ascii="Times New Roman" w:hAnsi="Times New Roman" w:eastAsia="Times New Roman"/>
                <w:b/>
                <w:color w:val="000000"/>
                <w:sz w:val="20"/>
                <w:szCs w:val="20"/>
                <w:highlight w:val="none"/>
                <w:lang w:eastAsia="ru-RU"/>
              </w:rPr>
            </w:pPr>
            <w:r>
              <w:rPr>
                <w:rFonts w:ascii="Times New Roman" w:hAnsi="Times New Roman" w:eastAsia="Times New Roman"/>
                <w:b/>
                <w:color w:val="000000"/>
                <w:sz w:val="20"/>
                <w:szCs w:val="20"/>
                <w:highlight w:val="none"/>
                <w:lang w:eastAsia="ru-RU"/>
              </w:rPr>
              <w:t>2</w:t>
            </w:r>
          </w:p>
        </w:tc>
        <w:tc>
          <w:tcPr>
            <w:tcW w:w="1454" w:type="pct"/>
            <w:shd w:val="clear" w:color="auto" w:fill="auto"/>
            <w:vAlign w:val="center"/>
          </w:tcPr>
          <w:p>
            <w:pPr>
              <w:spacing w:after="0" w:line="240" w:lineRule="auto"/>
              <w:jc w:val="center"/>
              <w:rPr>
                <w:rFonts w:ascii="Times New Roman" w:hAnsi="Times New Roman" w:eastAsia="Times New Roman"/>
                <w:b/>
                <w:color w:val="000000"/>
                <w:sz w:val="20"/>
                <w:szCs w:val="20"/>
                <w:highlight w:val="none"/>
                <w:lang w:eastAsia="ru-RU"/>
              </w:rPr>
            </w:pPr>
            <w:r>
              <w:rPr>
                <w:rFonts w:ascii="Times New Roman" w:hAnsi="Times New Roman" w:eastAsia="Times New Roman"/>
                <w:b/>
                <w:color w:val="000000"/>
                <w:sz w:val="20"/>
                <w:szCs w:val="20"/>
                <w:highlight w:val="none"/>
                <w:lang w:eastAsia="ru-RU"/>
              </w:rPr>
              <w:t>3</w:t>
            </w:r>
          </w:p>
        </w:tc>
        <w:tc>
          <w:tcPr>
            <w:tcW w:w="1690" w:type="pct"/>
            <w:shd w:val="clear" w:color="auto" w:fill="auto"/>
            <w:vAlign w:val="center"/>
          </w:tcPr>
          <w:p>
            <w:pPr>
              <w:spacing w:after="0" w:line="240" w:lineRule="auto"/>
              <w:jc w:val="center"/>
              <w:rPr>
                <w:rFonts w:ascii="Times New Roman" w:hAnsi="Times New Roman" w:eastAsia="Times New Roman"/>
                <w:b/>
                <w:color w:val="000000"/>
                <w:sz w:val="20"/>
                <w:szCs w:val="20"/>
                <w:highlight w:val="none"/>
                <w:lang w:eastAsia="ru-RU"/>
              </w:rPr>
            </w:pPr>
            <w:r>
              <w:rPr>
                <w:rFonts w:ascii="Times New Roman" w:hAnsi="Times New Roman" w:eastAsia="Times New Roman"/>
                <w:b/>
                <w:color w:val="000000"/>
                <w:sz w:val="20"/>
                <w:szCs w:val="20"/>
                <w:highlight w:val="none"/>
                <w:lang w:eastAsia="ru-RU"/>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03" w:type="pct"/>
            <w:shd w:val="clear" w:color="auto" w:fill="auto"/>
            <w:vAlign w:val="center"/>
          </w:tcPr>
          <w:p>
            <w:pPr>
              <w:spacing w:after="0" w:line="240" w:lineRule="auto"/>
              <w:jc w:val="center"/>
              <w:rPr>
                <w:rFonts w:ascii="Times New Roman" w:hAnsi="Times New Roman" w:eastAsia="Times New Roman"/>
                <w:color w:val="000000"/>
                <w:sz w:val="20"/>
                <w:szCs w:val="20"/>
                <w:highlight w:val="none"/>
                <w:lang w:eastAsia="ru-RU"/>
              </w:rPr>
            </w:pPr>
            <w:r>
              <w:rPr>
                <w:rFonts w:ascii="Times New Roman" w:hAnsi="Times New Roman" w:eastAsia="Times New Roman"/>
                <w:color w:val="000000"/>
                <w:sz w:val="20"/>
                <w:szCs w:val="20"/>
                <w:highlight w:val="none"/>
                <w:lang w:eastAsia="ru-RU"/>
              </w:rPr>
              <w:t>1</w:t>
            </w:r>
          </w:p>
        </w:tc>
        <w:tc>
          <w:tcPr>
            <w:tcW w:w="1453" w:type="pct"/>
            <w:shd w:val="clear" w:color="auto" w:fill="auto"/>
            <w:vAlign w:val="center"/>
          </w:tcPr>
          <w:p>
            <w:pPr>
              <w:spacing w:after="0" w:line="240" w:lineRule="auto"/>
              <w:rPr>
                <w:rFonts w:ascii="Times New Roman" w:hAnsi="Times New Roman" w:eastAsia="Times New Roman"/>
                <w:color w:val="000000"/>
                <w:sz w:val="20"/>
                <w:szCs w:val="20"/>
                <w:highlight w:val="none"/>
                <w:lang w:eastAsia="ru-RU"/>
              </w:rPr>
            </w:pPr>
            <w:r>
              <w:rPr>
                <w:rFonts w:ascii="Times New Roman" w:hAnsi="Times New Roman" w:eastAsia="Times New Roman"/>
                <w:color w:val="000000"/>
                <w:sz w:val="20"/>
                <w:szCs w:val="20"/>
                <w:highlight w:val="none"/>
                <w:lang w:eastAsia="ru-RU"/>
              </w:rPr>
              <w:t>Индивидуальные жилые дома</w:t>
            </w:r>
          </w:p>
        </w:tc>
        <w:tc>
          <w:tcPr>
            <w:tcW w:w="1454" w:type="pct"/>
            <w:shd w:val="clear" w:color="auto" w:fill="FFFF00"/>
          </w:tcPr>
          <w:p>
            <w:pPr>
              <w:spacing w:after="0" w:line="240" w:lineRule="auto"/>
              <w:jc w:val="center"/>
              <w:rPr>
                <w:rFonts w:ascii="Times New Roman" w:hAnsi="Times New Roman" w:eastAsia="Times New Roman"/>
                <w:color w:val="000000"/>
                <w:sz w:val="20"/>
                <w:szCs w:val="20"/>
                <w:highlight w:val="none"/>
                <w:lang w:eastAsia="ru-RU"/>
              </w:rPr>
            </w:pPr>
            <w:r>
              <w:rPr>
                <w:rFonts w:ascii="Times New Roman" w:hAnsi="Times New Roman" w:eastAsia="Times New Roman"/>
                <w:color w:val="000000"/>
                <w:sz w:val="20"/>
                <w:szCs w:val="20"/>
                <w:highlight w:val="none"/>
                <w:lang w:eastAsia="ru-RU"/>
              </w:rPr>
              <w:t>142 дома</w:t>
            </w:r>
          </w:p>
        </w:tc>
        <w:tc>
          <w:tcPr>
            <w:tcW w:w="1690" w:type="pct"/>
            <w:shd w:val="clear" w:color="auto" w:fill="FFFF00"/>
            <w:vAlign w:val="center"/>
          </w:tcPr>
          <w:p>
            <w:pPr>
              <w:spacing w:after="0" w:line="240" w:lineRule="auto"/>
              <w:jc w:val="center"/>
              <w:rPr>
                <w:rFonts w:ascii="Times New Roman" w:hAnsi="Times New Roman" w:eastAsia="Times New Roman"/>
                <w:color w:val="000000"/>
                <w:sz w:val="20"/>
                <w:szCs w:val="20"/>
                <w:highlight w:val="none"/>
                <w:lang w:eastAsia="ru-RU"/>
              </w:rPr>
            </w:pPr>
            <w:r>
              <w:rPr>
                <w:rFonts w:ascii="Times New Roman" w:hAnsi="Times New Roman" w:eastAsia="Times New Roman"/>
                <w:color w:val="000000"/>
                <w:sz w:val="20"/>
                <w:szCs w:val="20"/>
                <w:highlight w:val="none"/>
                <w:lang w:eastAsia="ru-RU"/>
              </w:rPr>
              <w:t>446,3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03" w:type="pct"/>
            <w:shd w:val="clear" w:color="auto" w:fill="auto"/>
            <w:vAlign w:val="center"/>
          </w:tcPr>
          <w:p>
            <w:pPr>
              <w:spacing w:after="0" w:line="240" w:lineRule="auto"/>
              <w:jc w:val="center"/>
              <w:rPr>
                <w:rFonts w:ascii="Times New Roman" w:hAnsi="Times New Roman" w:eastAsia="Times New Roman"/>
                <w:color w:val="000000"/>
                <w:sz w:val="20"/>
                <w:szCs w:val="20"/>
                <w:highlight w:val="none"/>
                <w:lang w:eastAsia="ru-RU"/>
              </w:rPr>
            </w:pPr>
            <w:r>
              <w:rPr>
                <w:rFonts w:ascii="Times New Roman" w:hAnsi="Times New Roman" w:eastAsia="Times New Roman"/>
                <w:color w:val="000000"/>
                <w:sz w:val="20"/>
                <w:szCs w:val="20"/>
                <w:highlight w:val="none"/>
                <w:lang w:eastAsia="ru-RU"/>
              </w:rPr>
              <w:t>2</w:t>
            </w:r>
          </w:p>
        </w:tc>
        <w:tc>
          <w:tcPr>
            <w:tcW w:w="1453" w:type="pct"/>
            <w:shd w:val="clear" w:color="auto" w:fill="auto"/>
            <w:vAlign w:val="center"/>
          </w:tcPr>
          <w:p>
            <w:pPr>
              <w:spacing w:after="0" w:line="240" w:lineRule="auto"/>
              <w:rPr>
                <w:rFonts w:ascii="Times New Roman" w:hAnsi="Times New Roman" w:eastAsia="Times New Roman"/>
                <w:color w:val="000000"/>
                <w:sz w:val="20"/>
                <w:szCs w:val="20"/>
                <w:highlight w:val="none"/>
                <w:lang w:eastAsia="ru-RU"/>
              </w:rPr>
            </w:pPr>
            <w:r>
              <w:rPr>
                <w:rFonts w:ascii="Times New Roman" w:hAnsi="Times New Roman" w:eastAsia="Times New Roman"/>
                <w:color w:val="000000"/>
                <w:sz w:val="20"/>
                <w:szCs w:val="20"/>
                <w:highlight w:val="none"/>
                <w:lang w:eastAsia="ru-RU"/>
              </w:rPr>
              <w:t>Административные здания</w:t>
            </w:r>
          </w:p>
        </w:tc>
        <w:tc>
          <w:tcPr>
            <w:tcW w:w="1454" w:type="pct"/>
            <w:shd w:val="clear" w:color="auto" w:fill="auto"/>
          </w:tcPr>
          <w:p>
            <w:pPr>
              <w:spacing w:after="0" w:line="240" w:lineRule="auto"/>
              <w:jc w:val="center"/>
              <w:rPr>
                <w:rFonts w:ascii="Times New Roman" w:hAnsi="Times New Roman" w:eastAsia="Times New Roman"/>
                <w:color w:val="000000"/>
                <w:sz w:val="20"/>
                <w:szCs w:val="20"/>
                <w:highlight w:val="none"/>
                <w:lang w:eastAsia="ru-RU"/>
              </w:rPr>
            </w:pPr>
            <w:r>
              <w:rPr>
                <w:rFonts w:ascii="Times New Roman" w:hAnsi="Times New Roman" w:eastAsia="Times New Roman"/>
                <w:color w:val="000000"/>
                <w:sz w:val="20"/>
                <w:szCs w:val="20"/>
                <w:highlight w:val="none"/>
                <w:lang w:eastAsia="ru-RU"/>
              </w:rPr>
              <w:t>0,1 Гкал/ч</w:t>
            </w:r>
          </w:p>
        </w:tc>
        <w:tc>
          <w:tcPr>
            <w:tcW w:w="1690" w:type="pct"/>
            <w:shd w:val="clear" w:color="auto" w:fill="auto"/>
            <w:vAlign w:val="center"/>
          </w:tcPr>
          <w:p>
            <w:pPr>
              <w:spacing w:after="0" w:line="240" w:lineRule="auto"/>
              <w:jc w:val="center"/>
              <w:rPr>
                <w:rFonts w:ascii="Times New Roman" w:hAnsi="Times New Roman" w:eastAsia="Times New Roman"/>
                <w:color w:val="000000"/>
                <w:sz w:val="20"/>
                <w:szCs w:val="20"/>
                <w:highlight w:val="none"/>
                <w:lang w:eastAsia="ru-RU"/>
              </w:rPr>
            </w:pPr>
            <w:r>
              <w:rPr>
                <w:rFonts w:ascii="Times New Roman" w:hAnsi="Times New Roman" w:eastAsia="Times New Roman"/>
                <w:color w:val="000000"/>
                <w:sz w:val="20"/>
                <w:szCs w:val="20"/>
                <w:highlight w:val="none"/>
                <w:lang w:eastAsia="ru-RU"/>
              </w:rPr>
              <w:t>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3310" w:type="pct"/>
            <w:gridSpan w:val="3"/>
            <w:shd w:val="clear" w:color="auto" w:fill="auto"/>
            <w:vAlign w:val="center"/>
          </w:tcPr>
          <w:p>
            <w:pPr>
              <w:spacing w:after="0" w:line="240" w:lineRule="auto"/>
              <w:jc w:val="right"/>
              <w:rPr>
                <w:rFonts w:ascii="Times New Roman" w:hAnsi="Times New Roman" w:eastAsia="Times New Roman"/>
                <w:b/>
                <w:color w:val="000000"/>
                <w:sz w:val="20"/>
                <w:szCs w:val="20"/>
                <w:highlight w:val="none"/>
                <w:lang w:eastAsia="ru-RU"/>
              </w:rPr>
            </w:pPr>
            <w:r>
              <w:rPr>
                <w:rFonts w:ascii="Times New Roman" w:hAnsi="Times New Roman" w:eastAsia="Times New Roman"/>
                <w:b/>
                <w:color w:val="000000"/>
                <w:sz w:val="20"/>
                <w:szCs w:val="20"/>
                <w:highlight w:val="none"/>
                <w:lang w:eastAsia="ru-RU"/>
              </w:rPr>
              <w:t>Итого:</w:t>
            </w:r>
          </w:p>
        </w:tc>
        <w:tc>
          <w:tcPr>
            <w:tcW w:w="1690" w:type="pct"/>
            <w:shd w:val="clear" w:color="auto" w:fill="FFFF00"/>
            <w:vAlign w:val="center"/>
          </w:tcPr>
          <w:p>
            <w:pPr>
              <w:spacing w:after="0" w:line="240" w:lineRule="auto"/>
              <w:jc w:val="center"/>
              <w:rPr>
                <w:rFonts w:ascii="Times New Roman" w:hAnsi="Times New Roman" w:eastAsia="Times New Roman"/>
                <w:b/>
                <w:color w:val="000000"/>
                <w:sz w:val="20"/>
                <w:szCs w:val="20"/>
                <w:highlight w:val="none"/>
                <w:lang w:eastAsia="ru-RU"/>
              </w:rPr>
            </w:pPr>
            <w:r>
              <w:rPr>
                <w:rFonts w:ascii="Times New Roman" w:hAnsi="Times New Roman" w:eastAsia="Times New Roman"/>
                <w:b/>
                <w:color w:val="000000"/>
                <w:sz w:val="20"/>
                <w:szCs w:val="20"/>
                <w:highlight w:val="none"/>
                <w:lang w:eastAsia="ru-RU"/>
              </w:rPr>
              <w:t>457,4</w:t>
            </w:r>
          </w:p>
        </w:tc>
      </w:tr>
    </w:tbl>
    <w:p>
      <w:pPr>
        <w:spacing w:after="0" w:line="14" w:lineRule="auto"/>
        <w:ind w:firstLine="284"/>
        <w:jc w:val="center"/>
        <w:rPr>
          <w:rFonts w:ascii="Times New Roman" w:hAnsi="Times New Roman"/>
          <w:sz w:val="24"/>
          <w:szCs w:val="24"/>
          <w:highlight w:val="none"/>
        </w:rPr>
      </w:pPr>
    </w:p>
    <w:p>
      <w:pPr>
        <w:pStyle w:val="4"/>
        <w:spacing w:before="120" w:after="0" w:line="300" w:lineRule="auto"/>
        <w:ind w:firstLine="709"/>
        <w:contextualSpacing/>
        <w:jc w:val="both"/>
        <w:rPr>
          <w:rFonts w:ascii="Times New Roman" w:hAnsi="Times New Roman"/>
          <w:sz w:val="24"/>
          <w:szCs w:val="24"/>
          <w:highlight w:val="none"/>
        </w:rPr>
      </w:pPr>
      <w:r>
        <w:rPr>
          <w:rFonts w:ascii="Times New Roman" w:hAnsi="Times New Roman"/>
          <w:sz w:val="24"/>
          <w:szCs w:val="24"/>
          <w:highlight w:val="none"/>
        </w:rPr>
        <w:t>ЭЛЕКТРОСНАБЖЕНИЕ</w:t>
      </w:r>
    </w:p>
    <w:p>
      <w:pPr>
        <w:tabs>
          <w:tab w:val="left" w:pos="142"/>
        </w:tabs>
        <w:spacing w:after="0"/>
        <w:ind w:firstLine="709"/>
        <w:jc w:val="both"/>
        <w:rPr>
          <w:rFonts w:ascii="Times New Roman" w:hAnsi="Times New Roman"/>
          <w:sz w:val="24"/>
          <w:szCs w:val="24"/>
          <w:highlight w:val="none"/>
        </w:rPr>
      </w:pPr>
      <w:r>
        <w:rPr>
          <w:rFonts w:ascii="Times New Roman" w:hAnsi="Times New Roman"/>
          <w:sz w:val="24"/>
          <w:szCs w:val="24"/>
          <w:highlight w:val="none"/>
        </w:rPr>
        <w:t>Раздел выполнен с учетом требований:</w:t>
      </w:r>
    </w:p>
    <w:p>
      <w:pPr>
        <w:numPr>
          <w:ilvl w:val="0"/>
          <w:numId w:val="20"/>
        </w:numPr>
        <w:tabs>
          <w:tab w:val="left" w:pos="709"/>
        </w:tabs>
        <w:autoSpaceDE w:val="0"/>
        <w:autoSpaceDN w:val="0"/>
        <w:adjustRightInd w:val="0"/>
        <w:spacing w:after="0"/>
        <w:ind w:left="0" w:firstLine="426"/>
        <w:contextualSpacing/>
        <w:jc w:val="both"/>
        <w:rPr>
          <w:rFonts w:ascii="Times New Roman" w:hAnsi="Times New Roman"/>
          <w:sz w:val="24"/>
          <w:szCs w:val="24"/>
          <w:highlight w:val="none"/>
        </w:rPr>
      </w:pPr>
      <w:r>
        <w:rPr>
          <w:rFonts w:ascii="Times New Roman" w:hAnsi="Times New Roman"/>
          <w:sz w:val="24"/>
          <w:szCs w:val="24"/>
          <w:highlight w:val="none"/>
        </w:rPr>
        <w:t>Правила устройства электроустановок. Седьмое издание. Дата введения 2003-01-01;</w:t>
      </w:r>
    </w:p>
    <w:p>
      <w:pPr>
        <w:numPr>
          <w:ilvl w:val="0"/>
          <w:numId w:val="20"/>
        </w:numPr>
        <w:tabs>
          <w:tab w:val="left" w:pos="709"/>
        </w:tabs>
        <w:autoSpaceDE w:val="0"/>
        <w:autoSpaceDN w:val="0"/>
        <w:adjustRightInd w:val="0"/>
        <w:spacing w:after="0"/>
        <w:ind w:left="0" w:firstLine="426"/>
        <w:contextualSpacing/>
        <w:jc w:val="both"/>
        <w:rPr>
          <w:rFonts w:ascii="Times New Roman" w:hAnsi="Times New Roman"/>
          <w:sz w:val="24"/>
          <w:szCs w:val="24"/>
          <w:highlight w:val="none"/>
        </w:rPr>
      </w:pPr>
      <w:r>
        <w:rPr>
          <w:rFonts w:ascii="Times New Roman" w:hAnsi="Times New Roman"/>
          <w:sz w:val="24"/>
          <w:szCs w:val="24"/>
          <w:highlight w:val="none"/>
        </w:rPr>
        <w:t>СП 256.1325800.2016. Свод правил. Электроустановки жилых и общественных зданий. Правила проектирования и монтажа;</w:t>
      </w:r>
    </w:p>
    <w:p>
      <w:pPr>
        <w:numPr>
          <w:ilvl w:val="0"/>
          <w:numId w:val="20"/>
        </w:numPr>
        <w:tabs>
          <w:tab w:val="left" w:pos="709"/>
        </w:tabs>
        <w:autoSpaceDE w:val="0"/>
        <w:autoSpaceDN w:val="0"/>
        <w:adjustRightInd w:val="0"/>
        <w:spacing w:after="0"/>
        <w:ind w:left="0" w:firstLine="426"/>
        <w:contextualSpacing/>
        <w:jc w:val="both"/>
        <w:rPr>
          <w:rFonts w:ascii="Times New Roman" w:hAnsi="Times New Roman"/>
          <w:sz w:val="24"/>
          <w:szCs w:val="24"/>
          <w:highlight w:val="none"/>
        </w:rPr>
      </w:pPr>
      <w:r>
        <w:rPr>
          <w:rFonts w:ascii="Times New Roman" w:hAnsi="Times New Roman"/>
          <w:sz w:val="24"/>
          <w:szCs w:val="24"/>
          <w:highlight w:val="none"/>
        </w:rPr>
        <w:t>Постановление Правительства Российской Федерации от 18.11.2013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p>
    <w:p>
      <w:pPr>
        <w:spacing w:after="0"/>
        <w:ind w:left="709"/>
        <w:jc w:val="both"/>
        <w:rPr>
          <w:rFonts w:ascii="Times New Roman" w:hAnsi="Times New Roman"/>
          <w:b/>
          <w:sz w:val="24"/>
          <w:szCs w:val="24"/>
          <w:highlight w:val="none"/>
        </w:rPr>
      </w:pPr>
      <w:r>
        <w:rPr>
          <w:rFonts w:ascii="Times New Roman" w:hAnsi="Times New Roman"/>
          <w:b/>
          <w:sz w:val="24"/>
          <w:szCs w:val="24"/>
          <w:highlight w:val="none"/>
        </w:rPr>
        <w:t>Существующее положение</w:t>
      </w:r>
    </w:p>
    <w:p>
      <w:pPr>
        <w:tabs>
          <w:tab w:val="left" w:pos="142"/>
        </w:tabs>
        <w:spacing w:after="0"/>
        <w:ind w:firstLine="709"/>
        <w:jc w:val="both"/>
        <w:rPr>
          <w:rFonts w:ascii="Times New Roman" w:hAnsi="Times New Roman"/>
          <w:sz w:val="24"/>
          <w:szCs w:val="24"/>
          <w:highlight w:val="none"/>
        </w:rPr>
      </w:pPr>
      <w:r>
        <w:rPr>
          <w:rFonts w:ascii="Times New Roman" w:hAnsi="Times New Roman"/>
          <w:sz w:val="24"/>
          <w:szCs w:val="24"/>
          <w:highlight w:val="none"/>
        </w:rPr>
        <w:t xml:space="preserve">На момент разработки </w:t>
      </w:r>
      <w:r>
        <w:rPr>
          <w:rFonts w:ascii="Times New Roman" w:hAnsi="Times New Roman" w:eastAsia="Times New Roman"/>
          <w:sz w:val="24"/>
          <w:szCs w:val="24"/>
          <w:highlight w:val="none"/>
          <w:lang w:eastAsia="ru-RU"/>
        </w:rPr>
        <w:t xml:space="preserve">настоящего </w:t>
      </w:r>
      <w:r>
        <w:rPr>
          <w:rFonts w:ascii="Times New Roman" w:hAnsi="Times New Roman"/>
          <w:bCs/>
          <w:sz w:val="24"/>
          <w:szCs w:val="24"/>
          <w:highlight w:val="none"/>
        </w:rPr>
        <w:t>проекта планировки территории и проекта межевания территории квартала № 15 пгт. Ноглики муниципального образования «Городской округ Ногликский»</w:t>
      </w:r>
      <w:r>
        <w:rPr>
          <w:rFonts w:ascii="Times New Roman" w:hAnsi="Times New Roman" w:eastAsia="Times New Roman"/>
          <w:sz w:val="24"/>
          <w:szCs w:val="24"/>
          <w:highlight w:val="none"/>
          <w:lang w:eastAsia="ru-RU"/>
        </w:rPr>
        <w:t xml:space="preserve"> располагаются </w:t>
      </w:r>
      <w:r>
        <w:rPr>
          <w:rFonts w:ascii="Times New Roman" w:hAnsi="Times New Roman"/>
          <w:sz w:val="24"/>
          <w:szCs w:val="24"/>
          <w:highlight w:val="none"/>
        </w:rPr>
        <w:t>существующие сети и объекты электроснабжения напряжением 0,4,  10(6) и 35 кВ. Существующие объекты капитального строительства получают питание от трансформаторной подстанций в количестве 1 штуки.</w:t>
      </w:r>
    </w:p>
    <w:p>
      <w:pPr>
        <w:tabs>
          <w:tab w:val="left" w:pos="142"/>
        </w:tabs>
        <w:spacing w:after="0"/>
        <w:ind w:firstLine="709"/>
        <w:jc w:val="both"/>
        <w:rPr>
          <w:rFonts w:ascii="Times New Roman" w:hAnsi="Times New Roman"/>
          <w:sz w:val="24"/>
          <w:szCs w:val="24"/>
          <w:highlight w:val="none"/>
        </w:rPr>
      </w:pPr>
      <w:r>
        <w:rPr>
          <w:rFonts w:ascii="Times New Roman" w:hAnsi="Times New Roman"/>
          <w:sz w:val="24"/>
          <w:szCs w:val="24"/>
          <w:highlight w:val="none"/>
        </w:rPr>
        <w:t>Протяженность существующий линий 35 кВ составляет 0,662 км.</w:t>
      </w:r>
    </w:p>
    <w:p>
      <w:pPr>
        <w:tabs>
          <w:tab w:val="left" w:pos="142"/>
        </w:tabs>
        <w:spacing w:after="0"/>
        <w:ind w:firstLine="709"/>
        <w:jc w:val="both"/>
        <w:rPr>
          <w:rFonts w:ascii="Times New Roman" w:hAnsi="Times New Roman"/>
          <w:sz w:val="24"/>
          <w:szCs w:val="24"/>
          <w:highlight w:val="none"/>
        </w:rPr>
      </w:pPr>
      <w:r>
        <w:rPr>
          <w:rFonts w:ascii="Times New Roman" w:hAnsi="Times New Roman"/>
          <w:sz w:val="24"/>
          <w:szCs w:val="24"/>
          <w:highlight w:val="none"/>
        </w:rPr>
        <w:t>Протяженность существующий линий 10(6) кВ составляет 1,072 км.</w:t>
      </w:r>
    </w:p>
    <w:p>
      <w:pPr>
        <w:tabs>
          <w:tab w:val="left" w:pos="142"/>
        </w:tabs>
        <w:spacing w:after="0"/>
        <w:ind w:firstLine="709"/>
        <w:jc w:val="both"/>
        <w:rPr>
          <w:rFonts w:ascii="Times New Roman" w:hAnsi="Times New Roman"/>
          <w:sz w:val="24"/>
          <w:szCs w:val="24"/>
          <w:highlight w:val="none"/>
        </w:rPr>
      </w:pPr>
      <w:r>
        <w:rPr>
          <w:rFonts w:ascii="Times New Roman" w:hAnsi="Times New Roman"/>
          <w:sz w:val="24"/>
          <w:szCs w:val="24"/>
          <w:highlight w:val="none"/>
        </w:rPr>
        <w:t>Протяженность существующий линий 0,4 кВ составляет 4,793 км.</w:t>
      </w:r>
    </w:p>
    <w:p>
      <w:pPr>
        <w:spacing w:after="0"/>
        <w:ind w:left="709"/>
        <w:jc w:val="both"/>
        <w:rPr>
          <w:rFonts w:ascii="Times New Roman" w:hAnsi="Times New Roman"/>
          <w:b/>
          <w:sz w:val="24"/>
          <w:szCs w:val="24"/>
          <w:highlight w:val="none"/>
        </w:rPr>
      </w:pPr>
      <w:r>
        <w:rPr>
          <w:rFonts w:ascii="Times New Roman" w:hAnsi="Times New Roman"/>
          <w:b/>
          <w:sz w:val="24"/>
          <w:szCs w:val="24"/>
          <w:highlight w:val="none"/>
        </w:rPr>
        <w:t>Проектные предложения</w:t>
      </w:r>
    </w:p>
    <w:p>
      <w:pPr>
        <w:tabs>
          <w:tab w:val="left" w:pos="142"/>
        </w:tabs>
        <w:spacing w:after="0"/>
        <w:ind w:firstLine="709"/>
        <w:jc w:val="both"/>
        <w:rPr>
          <w:rFonts w:ascii="Times New Roman" w:hAnsi="Times New Roman"/>
          <w:sz w:val="24"/>
          <w:szCs w:val="24"/>
          <w:highlight w:val="none"/>
        </w:rPr>
      </w:pPr>
      <w:r>
        <w:rPr>
          <w:rFonts w:ascii="Times New Roman" w:hAnsi="Times New Roman"/>
          <w:sz w:val="24"/>
          <w:szCs w:val="24"/>
          <w:highlight w:val="none"/>
        </w:rPr>
        <w:t>Проектом предлагается выполнить следующие мероприятия:</w:t>
      </w:r>
    </w:p>
    <w:p>
      <w:pPr>
        <w:numPr>
          <w:ilvl w:val="0"/>
          <w:numId w:val="20"/>
        </w:numPr>
        <w:autoSpaceDE w:val="0"/>
        <w:autoSpaceDN w:val="0"/>
        <w:adjustRightInd w:val="0"/>
        <w:spacing w:after="0"/>
        <w:ind w:left="0" w:firstLine="426"/>
        <w:contextualSpacing/>
        <w:jc w:val="both"/>
        <w:rPr>
          <w:rFonts w:ascii="Times New Roman" w:hAnsi="Times New Roman"/>
          <w:sz w:val="24"/>
          <w:szCs w:val="24"/>
          <w:highlight w:val="none"/>
        </w:rPr>
      </w:pPr>
      <w:r>
        <w:rPr>
          <w:rFonts w:ascii="Times New Roman" w:hAnsi="Times New Roman"/>
          <w:sz w:val="24"/>
          <w:szCs w:val="24"/>
          <w:highlight w:val="none"/>
        </w:rPr>
        <w:t>прокладка сетей электроснабжения к планируемой трансформаторной подстанции;</w:t>
      </w:r>
    </w:p>
    <w:p>
      <w:pPr>
        <w:numPr>
          <w:ilvl w:val="0"/>
          <w:numId w:val="20"/>
        </w:numPr>
        <w:autoSpaceDE w:val="0"/>
        <w:autoSpaceDN w:val="0"/>
        <w:adjustRightInd w:val="0"/>
        <w:spacing w:after="0"/>
        <w:ind w:left="0" w:firstLine="426"/>
        <w:contextualSpacing/>
        <w:jc w:val="both"/>
        <w:rPr>
          <w:rFonts w:ascii="Times New Roman" w:hAnsi="Times New Roman"/>
          <w:sz w:val="24"/>
          <w:szCs w:val="24"/>
          <w:highlight w:val="none"/>
        </w:rPr>
      </w:pPr>
      <w:r>
        <w:rPr>
          <w:rFonts w:ascii="Times New Roman" w:hAnsi="Times New Roman"/>
          <w:sz w:val="24"/>
          <w:szCs w:val="24"/>
          <w:highlight w:val="none"/>
        </w:rPr>
        <w:t>перекладка и прокладка сетей электроснабжения к планируемым объектам;</w:t>
      </w:r>
    </w:p>
    <w:p>
      <w:pPr>
        <w:numPr>
          <w:ilvl w:val="0"/>
          <w:numId w:val="20"/>
        </w:numPr>
        <w:autoSpaceDE w:val="0"/>
        <w:autoSpaceDN w:val="0"/>
        <w:adjustRightInd w:val="0"/>
        <w:spacing w:after="0"/>
        <w:ind w:left="0" w:firstLine="426"/>
        <w:contextualSpacing/>
        <w:jc w:val="both"/>
        <w:rPr>
          <w:rFonts w:ascii="Times New Roman" w:hAnsi="Times New Roman"/>
          <w:sz w:val="24"/>
          <w:szCs w:val="24"/>
          <w:highlight w:val="none"/>
        </w:rPr>
      </w:pPr>
      <w:r>
        <w:rPr>
          <w:rFonts w:ascii="Times New Roman" w:hAnsi="Times New Roman"/>
          <w:sz w:val="24"/>
          <w:szCs w:val="24"/>
          <w:highlight w:val="none"/>
        </w:rPr>
        <w:t>демонтаж и перекладка из воздушной линии в кабельную линию электропередачи 35 кВ;</w:t>
      </w:r>
    </w:p>
    <w:p>
      <w:pPr>
        <w:numPr>
          <w:ilvl w:val="0"/>
          <w:numId w:val="20"/>
        </w:numPr>
        <w:autoSpaceDE w:val="0"/>
        <w:autoSpaceDN w:val="0"/>
        <w:adjustRightInd w:val="0"/>
        <w:spacing w:after="0"/>
        <w:ind w:left="0" w:firstLine="426"/>
        <w:contextualSpacing/>
        <w:jc w:val="both"/>
        <w:rPr>
          <w:rFonts w:ascii="Times New Roman" w:hAnsi="Times New Roman"/>
          <w:sz w:val="24"/>
          <w:szCs w:val="24"/>
          <w:highlight w:val="none"/>
        </w:rPr>
      </w:pPr>
      <w:r>
        <w:rPr>
          <w:rFonts w:ascii="Times New Roman" w:hAnsi="Times New Roman"/>
          <w:sz w:val="24"/>
          <w:szCs w:val="24"/>
          <w:highlight w:val="none"/>
        </w:rPr>
        <w:t>строительство новой трансформаторной подстанции в количестве 1 штук.</w:t>
      </w:r>
    </w:p>
    <w:p>
      <w:pPr>
        <w:tabs>
          <w:tab w:val="left" w:pos="142"/>
        </w:tabs>
        <w:spacing w:after="0"/>
        <w:ind w:firstLine="709"/>
        <w:jc w:val="both"/>
        <w:rPr>
          <w:rFonts w:ascii="Times New Roman" w:hAnsi="Times New Roman"/>
          <w:sz w:val="24"/>
          <w:szCs w:val="24"/>
          <w:highlight w:val="none"/>
        </w:rPr>
      </w:pPr>
      <w:r>
        <w:rPr>
          <w:rFonts w:ascii="Times New Roman" w:hAnsi="Times New Roman"/>
          <w:sz w:val="24"/>
          <w:szCs w:val="24"/>
          <w:highlight w:val="none"/>
        </w:rPr>
        <w:t>Мощность трансформаторных подстанций, марка и сечения проводов уточняются на стадии рабочего проектирования. На стадии рабочего проектирования следует предусмотреть возможность реконструкции существующей трансформаторной подстанций с целью увеличения мощности и повышения надежности электроснабжения.</w:t>
      </w:r>
    </w:p>
    <w:p>
      <w:pPr>
        <w:tabs>
          <w:tab w:val="left" w:pos="142"/>
        </w:tabs>
        <w:spacing w:after="0"/>
        <w:ind w:firstLine="709"/>
        <w:jc w:val="both"/>
        <w:rPr>
          <w:rFonts w:ascii="Times New Roman" w:hAnsi="Times New Roman"/>
          <w:sz w:val="24"/>
          <w:szCs w:val="24"/>
          <w:highlight w:val="none"/>
        </w:rPr>
      </w:pPr>
      <w:r>
        <w:rPr>
          <w:rFonts w:ascii="Times New Roman" w:hAnsi="Times New Roman"/>
          <w:sz w:val="24"/>
          <w:szCs w:val="24"/>
          <w:highlight w:val="none"/>
        </w:rPr>
        <w:t>Ориентировочная протяженность демонтируемых линий 0,4 кВ составляет 2,706 км.</w:t>
      </w:r>
    </w:p>
    <w:p>
      <w:pPr>
        <w:tabs>
          <w:tab w:val="left" w:pos="142"/>
        </w:tabs>
        <w:spacing w:after="0"/>
        <w:ind w:firstLine="709"/>
        <w:jc w:val="both"/>
        <w:rPr>
          <w:rFonts w:ascii="Times New Roman" w:hAnsi="Times New Roman"/>
          <w:sz w:val="24"/>
          <w:szCs w:val="24"/>
          <w:highlight w:val="none"/>
        </w:rPr>
      </w:pPr>
      <w:r>
        <w:rPr>
          <w:rFonts w:ascii="Times New Roman" w:hAnsi="Times New Roman"/>
          <w:sz w:val="24"/>
          <w:szCs w:val="24"/>
          <w:highlight w:val="none"/>
        </w:rPr>
        <w:t>Ориентировочная протяженность демонтируемых линий 10(6) кВ – 0,628 км.</w:t>
      </w:r>
    </w:p>
    <w:p>
      <w:pPr>
        <w:tabs>
          <w:tab w:val="left" w:pos="142"/>
        </w:tabs>
        <w:spacing w:after="0"/>
        <w:ind w:firstLine="709"/>
        <w:jc w:val="both"/>
        <w:rPr>
          <w:rFonts w:ascii="Times New Roman" w:hAnsi="Times New Roman"/>
          <w:sz w:val="24"/>
          <w:szCs w:val="24"/>
          <w:highlight w:val="none"/>
        </w:rPr>
      </w:pPr>
      <w:r>
        <w:rPr>
          <w:rFonts w:ascii="Times New Roman" w:hAnsi="Times New Roman"/>
          <w:sz w:val="24"/>
          <w:szCs w:val="24"/>
          <w:highlight w:val="none"/>
        </w:rPr>
        <w:t>Ориентировочная протяженность демонтируемых линий 35 кВ – 0,387 км.</w:t>
      </w:r>
    </w:p>
    <w:p>
      <w:pPr>
        <w:tabs>
          <w:tab w:val="left" w:pos="142"/>
        </w:tabs>
        <w:spacing w:after="0"/>
        <w:ind w:firstLine="709"/>
        <w:jc w:val="both"/>
        <w:rPr>
          <w:rFonts w:ascii="Times New Roman" w:hAnsi="Times New Roman"/>
          <w:sz w:val="24"/>
          <w:szCs w:val="24"/>
          <w:highlight w:val="none"/>
        </w:rPr>
      </w:pPr>
      <w:r>
        <w:rPr>
          <w:rFonts w:ascii="Times New Roman" w:hAnsi="Times New Roman"/>
          <w:sz w:val="24"/>
          <w:szCs w:val="24"/>
          <w:highlight w:val="none"/>
        </w:rPr>
        <w:t>Ориентировочная протяженность проектируемых линий 0,4 кВ составляет 7,981 км.</w:t>
      </w:r>
    </w:p>
    <w:p>
      <w:pPr>
        <w:tabs>
          <w:tab w:val="left" w:pos="142"/>
        </w:tabs>
        <w:spacing w:after="0"/>
        <w:ind w:firstLine="709"/>
        <w:jc w:val="both"/>
        <w:rPr>
          <w:rFonts w:ascii="Times New Roman" w:hAnsi="Times New Roman"/>
          <w:sz w:val="24"/>
          <w:szCs w:val="24"/>
          <w:highlight w:val="none"/>
        </w:rPr>
      </w:pPr>
      <w:r>
        <w:rPr>
          <w:rFonts w:ascii="Times New Roman" w:hAnsi="Times New Roman"/>
          <w:sz w:val="24"/>
          <w:szCs w:val="24"/>
          <w:highlight w:val="none"/>
        </w:rPr>
        <w:t>Ориентировочная протяженность проектируемых линий 10(6) кВ – 0,772 км.</w:t>
      </w:r>
    </w:p>
    <w:p>
      <w:pPr>
        <w:tabs>
          <w:tab w:val="left" w:pos="142"/>
        </w:tabs>
        <w:spacing w:after="0"/>
        <w:ind w:firstLine="709"/>
        <w:jc w:val="both"/>
        <w:rPr>
          <w:rFonts w:ascii="Times New Roman" w:hAnsi="Times New Roman"/>
          <w:sz w:val="24"/>
          <w:szCs w:val="24"/>
          <w:highlight w:val="none"/>
        </w:rPr>
      </w:pPr>
      <w:r>
        <w:rPr>
          <w:rFonts w:ascii="Times New Roman" w:hAnsi="Times New Roman"/>
          <w:sz w:val="24"/>
          <w:szCs w:val="24"/>
          <w:highlight w:val="none"/>
        </w:rPr>
        <w:t>Ориентировочная протяженность проектируемых линий 35 кВ – 0,478 км.</w:t>
      </w:r>
    </w:p>
    <w:p>
      <w:pPr>
        <w:tabs>
          <w:tab w:val="left" w:pos="142"/>
        </w:tabs>
        <w:spacing w:after="0"/>
        <w:ind w:firstLine="709"/>
        <w:jc w:val="both"/>
        <w:rPr>
          <w:rFonts w:ascii="Times New Roman" w:hAnsi="Times New Roman"/>
          <w:sz w:val="24"/>
          <w:szCs w:val="24"/>
          <w:highlight w:val="none"/>
        </w:rPr>
      </w:pPr>
      <w:r>
        <w:rPr>
          <w:rFonts w:ascii="Times New Roman" w:hAnsi="Times New Roman"/>
          <w:sz w:val="24"/>
          <w:szCs w:val="24"/>
          <w:highlight w:val="none"/>
        </w:rPr>
        <w:t xml:space="preserve">На территории проектируемого участка находятся потребители электрической энергии, относящиеся по обеспеченности надежности электроснабжения к электроприемникам </w:t>
      </w:r>
      <w:r>
        <w:rPr>
          <w:rFonts w:ascii="Times New Roman" w:hAnsi="Times New Roman"/>
          <w:sz w:val="24"/>
          <w:szCs w:val="24"/>
          <w:highlight w:val="none"/>
          <w:lang w:val="en-US"/>
        </w:rPr>
        <w:t>III</w:t>
      </w:r>
      <w:r>
        <w:rPr>
          <w:rFonts w:ascii="Times New Roman" w:hAnsi="Times New Roman"/>
          <w:sz w:val="24"/>
          <w:szCs w:val="24"/>
          <w:highlight w:val="none"/>
        </w:rPr>
        <w:t xml:space="preserve"> категории. В соответствии с требованиями СП 256.1325800.2016 «Свод правил. Электроустановки жилых и общественных зданий. Правила проектирования и монтажа» потребителям </w:t>
      </w:r>
      <w:r>
        <w:rPr>
          <w:rFonts w:ascii="Times New Roman" w:hAnsi="Times New Roman"/>
          <w:sz w:val="24"/>
          <w:szCs w:val="24"/>
          <w:highlight w:val="none"/>
          <w:lang w:val="en-US"/>
        </w:rPr>
        <w:t>III</w:t>
      </w:r>
      <w:r>
        <w:rPr>
          <w:rFonts w:ascii="Times New Roman" w:hAnsi="Times New Roman"/>
          <w:sz w:val="24"/>
          <w:szCs w:val="24"/>
          <w:highlight w:val="none"/>
        </w:rPr>
        <w:t xml:space="preserve"> категории не требуется обеспечение электроэнергией от двух независимых взаимно резервирующих источников питания.</w:t>
      </w:r>
    </w:p>
    <w:p>
      <w:pPr>
        <w:tabs>
          <w:tab w:val="left" w:pos="142"/>
        </w:tabs>
        <w:spacing w:after="0" w:line="300" w:lineRule="auto"/>
        <w:ind w:firstLine="709"/>
        <w:jc w:val="both"/>
        <w:rPr>
          <w:rFonts w:ascii="Times New Roman" w:hAnsi="Times New Roman"/>
          <w:sz w:val="24"/>
          <w:szCs w:val="24"/>
          <w:highlight w:val="none"/>
        </w:rPr>
      </w:pPr>
      <w:bookmarkStart w:id="36" w:name="_Toc103943738"/>
      <w:r>
        <w:rPr>
          <w:rFonts w:ascii="Times New Roman" w:hAnsi="Times New Roman"/>
          <w:sz w:val="24"/>
          <w:szCs w:val="24"/>
          <w:highlight w:val="none"/>
        </w:rPr>
        <w:t>Расчет электрической нагрузки от электроприемников в границах территории выполнен согласно СП 256.1325800.2016 «Свод правил. Электроустановки жилых и общественных зданий. Правила проектирования и монтажа». Ориентировочная нагрузка планируемой территории отображена в таблице 5</w:t>
      </w:r>
    </w:p>
    <w:p>
      <w:pPr>
        <w:spacing w:after="0" w:line="300" w:lineRule="auto"/>
        <w:ind w:firstLine="284"/>
        <w:jc w:val="right"/>
        <w:rPr>
          <w:rFonts w:ascii="Times New Roman" w:hAnsi="Times New Roman"/>
          <w:sz w:val="24"/>
          <w:szCs w:val="24"/>
          <w:highlight w:val="none"/>
        </w:rPr>
      </w:pPr>
      <w:r>
        <w:rPr>
          <w:rFonts w:ascii="Times New Roman" w:hAnsi="Times New Roman"/>
          <w:sz w:val="24"/>
          <w:szCs w:val="24"/>
          <w:highlight w:val="none"/>
        </w:rPr>
        <w:t>Таблица 5</w:t>
      </w:r>
    </w:p>
    <w:p>
      <w:pPr>
        <w:spacing w:after="0" w:line="300" w:lineRule="auto"/>
        <w:ind w:firstLine="284"/>
        <w:jc w:val="center"/>
        <w:rPr>
          <w:rFonts w:ascii="Times New Roman" w:hAnsi="Times New Roman"/>
          <w:sz w:val="24"/>
          <w:szCs w:val="24"/>
          <w:highlight w:val="none"/>
        </w:rPr>
      </w:pPr>
      <w:r>
        <w:rPr>
          <w:rFonts w:ascii="Times New Roman" w:hAnsi="Times New Roman"/>
          <w:sz w:val="24"/>
          <w:szCs w:val="24"/>
          <w:highlight w:val="none"/>
        </w:rPr>
        <w:t>Ориентировочная нагрузка планируемой территории</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5"/>
        <w:gridCol w:w="2696"/>
        <w:gridCol w:w="2699"/>
        <w:gridCol w:w="3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03" w:type="pct"/>
            <w:shd w:val="clear" w:color="auto" w:fill="auto"/>
            <w:vAlign w:val="center"/>
          </w:tcPr>
          <w:p>
            <w:pPr>
              <w:spacing w:after="0" w:line="240" w:lineRule="auto"/>
              <w:jc w:val="center"/>
              <w:rPr>
                <w:rFonts w:ascii="Times New Roman" w:hAnsi="Times New Roman" w:eastAsia="Times New Roman"/>
                <w:b/>
                <w:color w:val="000000"/>
                <w:sz w:val="20"/>
                <w:szCs w:val="20"/>
                <w:highlight w:val="none"/>
                <w:lang w:eastAsia="ru-RU"/>
              </w:rPr>
            </w:pPr>
            <w:r>
              <w:rPr>
                <w:rFonts w:ascii="Times New Roman" w:hAnsi="Times New Roman" w:eastAsia="Times New Roman"/>
                <w:b/>
                <w:color w:val="000000"/>
                <w:sz w:val="20"/>
                <w:szCs w:val="20"/>
                <w:highlight w:val="none"/>
                <w:lang w:eastAsia="ru-RU"/>
              </w:rPr>
              <w:t>№ п/п</w:t>
            </w:r>
          </w:p>
        </w:tc>
        <w:tc>
          <w:tcPr>
            <w:tcW w:w="1453" w:type="pct"/>
            <w:shd w:val="clear" w:color="auto" w:fill="auto"/>
            <w:vAlign w:val="center"/>
          </w:tcPr>
          <w:p>
            <w:pPr>
              <w:spacing w:after="0" w:line="240" w:lineRule="auto"/>
              <w:jc w:val="center"/>
              <w:rPr>
                <w:rFonts w:ascii="Times New Roman" w:hAnsi="Times New Roman" w:eastAsia="Times New Roman"/>
                <w:b/>
                <w:color w:val="000000"/>
                <w:sz w:val="20"/>
                <w:szCs w:val="20"/>
                <w:highlight w:val="none"/>
                <w:lang w:eastAsia="ru-RU"/>
              </w:rPr>
            </w:pPr>
            <w:r>
              <w:rPr>
                <w:rFonts w:ascii="Times New Roman" w:hAnsi="Times New Roman" w:eastAsia="Times New Roman"/>
                <w:b/>
                <w:color w:val="000000"/>
                <w:sz w:val="20"/>
                <w:szCs w:val="20"/>
                <w:highlight w:val="none"/>
                <w:lang w:eastAsia="ru-RU"/>
              </w:rPr>
              <w:t>Назначение</w:t>
            </w:r>
          </w:p>
        </w:tc>
        <w:tc>
          <w:tcPr>
            <w:tcW w:w="1454" w:type="pct"/>
            <w:shd w:val="clear" w:color="auto" w:fill="auto"/>
            <w:vAlign w:val="center"/>
          </w:tcPr>
          <w:p>
            <w:pPr>
              <w:spacing w:after="0" w:line="240" w:lineRule="auto"/>
              <w:jc w:val="center"/>
              <w:rPr>
                <w:rFonts w:ascii="Times New Roman" w:hAnsi="Times New Roman" w:eastAsia="Times New Roman"/>
                <w:b/>
                <w:color w:val="000000"/>
                <w:sz w:val="20"/>
                <w:szCs w:val="20"/>
                <w:highlight w:val="none"/>
                <w:lang w:eastAsia="ru-RU"/>
              </w:rPr>
            </w:pPr>
            <w:r>
              <w:rPr>
                <w:rFonts w:ascii="Times New Roman" w:hAnsi="Times New Roman" w:eastAsia="Times New Roman"/>
                <w:b/>
                <w:color w:val="000000"/>
                <w:sz w:val="20"/>
                <w:szCs w:val="20"/>
                <w:highlight w:val="none"/>
                <w:lang w:eastAsia="ru-RU"/>
              </w:rPr>
              <w:t>Расчетных единиц</w:t>
            </w:r>
          </w:p>
        </w:tc>
        <w:tc>
          <w:tcPr>
            <w:tcW w:w="1690" w:type="pct"/>
            <w:shd w:val="clear" w:color="auto" w:fill="auto"/>
            <w:vAlign w:val="center"/>
          </w:tcPr>
          <w:p>
            <w:pPr>
              <w:spacing w:after="0" w:line="240" w:lineRule="auto"/>
              <w:jc w:val="center"/>
              <w:rPr>
                <w:rFonts w:ascii="Times New Roman" w:hAnsi="Times New Roman" w:eastAsia="Times New Roman"/>
                <w:b/>
                <w:color w:val="000000"/>
                <w:sz w:val="20"/>
                <w:szCs w:val="20"/>
                <w:highlight w:val="none"/>
                <w:lang w:eastAsia="ru-RU"/>
              </w:rPr>
            </w:pPr>
            <w:r>
              <w:rPr>
                <w:rFonts w:ascii="Times New Roman" w:hAnsi="Times New Roman" w:eastAsia="Times New Roman"/>
                <w:b/>
                <w:color w:val="000000"/>
                <w:sz w:val="20"/>
                <w:szCs w:val="20"/>
                <w:highlight w:val="none"/>
                <w:lang w:eastAsia="ru-RU"/>
              </w:rPr>
              <w:t xml:space="preserve">Активная расчетная нагрузка, </w:t>
            </w:r>
          </w:p>
          <w:p>
            <w:pPr>
              <w:spacing w:after="0" w:line="240" w:lineRule="auto"/>
              <w:jc w:val="center"/>
              <w:rPr>
                <w:rFonts w:ascii="Times New Roman" w:hAnsi="Times New Roman" w:eastAsia="Times New Roman"/>
                <w:b/>
                <w:color w:val="000000"/>
                <w:sz w:val="20"/>
                <w:szCs w:val="20"/>
                <w:highlight w:val="none"/>
                <w:lang w:eastAsia="ru-RU"/>
              </w:rPr>
            </w:pPr>
            <w:r>
              <w:rPr>
                <w:rFonts w:ascii="Times New Roman" w:hAnsi="Times New Roman" w:eastAsia="Times New Roman"/>
                <w:b/>
                <w:color w:val="000000"/>
                <w:sz w:val="20"/>
                <w:szCs w:val="20"/>
                <w:highlight w:val="none"/>
                <w:lang w:eastAsia="ru-RU"/>
              </w:rPr>
              <w:t>Рржд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03" w:type="pct"/>
            <w:shd w:val="clear" w:color="auto" w:fill="auto"/>
            <w:vAlign w:val="center"/>
          </w:tcPr>
          <w:p>
            <w:pPr>
              <w:spacing w:after="0" w:line="240" w:lineRule="auto"/>
              <w:jc w:val="center"/>
              <w:rPr>
                <w:rFonts w:ascii="Times New Roman" w:hAnsi="Times New Roman" w:eastAsia="Times New Roman"/>
                <w:b/>
                <w:color w:val="000000"/>
                <w:sz w:val="20"/>
                <w:szCs w:val="20"/>
                <w:highlight w:val="none"/>
                <w:lang w:eastAsia="ru-RU"/>
              </w:rPr>
            </w:pPr>
            <w:r>
              <w:rPr>
                <w:rFonts w:ascii="Times New Roman" w:hAnsi="Times New Roman" w:eastAsia="Times New Roman"/>
                <w:b/>
                <w:color w:val="000000"/>
                <w:sz w:val="20"/>
                <w:szCs w:val="20"/>
                <w:highlight w:val="none"/>
                <w:lang w:eastAsia="ru-RU"/>
              </w:rPr>
              <w:t>1</w:t>
            </w:r>
          </w:p>
        </w:tc>
        <w:tc>
          <w:tcPr>
            <w:tcW w:w="1453" w:type="pct"/>
            <w:shd w:val="clear" w:color="auto" w:fill="auto"/>
            <w:vAlign w:val="center"/>
          </w:tcPr>
          <w:p>
            <w:pPr>
              <w:spacing w:after="0" w:line="240" w:lineRule="auto"/>
              <w:jc w:val="center"/>
              <w:rPr>
                <w:rFonts w:ascii="Times New Roman" w:hAnsi="Times New Roman" w:eastAsia="Times New Roman"/>
                <w:b/>
                <w:color w:val="000000"/>
                <w:sz w:val="20"/>
                <w:szCs w:val="20"/>
                <w:highlight w:val="none"/>
                <w:lang w:eastAsia="ru-RU"/>
              </w:rPr>
            </w:pPr>
            <w:r>
              <w:rPr>
                <w:rFonts w:ascii="Times New Roman" w:hAnsi="Times New Roman" w:eastAsia="Times New Roman"/>
                <w:b/>
                <w:color w:val="000000"/>
                <w:sz w:val="20"/>
                <w:szCs w:val="20"/>
                <w:highlight w:val="none"/>
                <w:lang w:eastAsia="ru-RU"/>
              </w:rPr>
              <w:t>2</w:t>
            </w:r>
          </w:p>
        </w:tc>
        <w:tc>
          <w:tcPr>
            <w:tcW w:w="1454" w:type="pct"/>
            <w:shd w:val="clear" w:color="auto" w:fill="auto"/>
            <w:vAlign w:val="center"/>
          </w:tcPr>
          <w:p>
            <w:pPr>
              <w:spacing w:after="0" w:line="240" w:lineRule="auto"/>
              <w:jc w:val="center"/>
              <w:rPr>
                <w:rFonts w:ascii="Times New Roman" w:hAnsi="Times New Roman" w:eastAsia="Times New Roman"/>
                <w:b/>
                <w:color w:val="000000"/>
                <w:sz w:val="20"/>
                <w:szCs w:val="20"/>
                <w:highlight w:val="none"/>
                <w:lang w:eastAsia="ru-RU"/>
              </w:rPr>
            </w:pPr>
            <w:r>
              <w:rPr>
                <w:rFonts w:ascii="Times New Roman" w:hAnsi="Times New Roman" w:eastAsia="Times New Roman"/>
                <w:b/>
                <w:color w:val="000000"/>
                <w:sz w:val="20"/>
                <w:szCs w:val="20"/>
                <w:highlight w:val="none"/>
                <w:lang w:eastAsia="ru-RU"/>
              </w:rPr>
              <w:t>3</w:t>
            </w:r>
          </w:p>
        </w:tc>
        <w:tc>
          <w:tcPr>
            <w:tcW w:w="1690" w:type="pct"/>
            <w:shd w:val="clear" w:color="auto" w:fill="auto"/>
            <w:vAlign w:val="center"/>
          </w:tcPr>
          <w:p>
            <w:pPr>
              <w:spacing w:after="0" w:line="240" w:lineRule="auto"/>
              <w:jc w:val="center"/>
              <w:rPr>
                <w:rFonts w:ascii="Times New Roman" w:hAnsi="Times New Roman" w:eastAsia="Times New Roman"/>
                <w:b/>
                <w:color w:val="000000"/>
                <w:sz w:val="20"/>
                <w:szCs w:val="20"/>
                <w:highlight w:val="none"/>
                <w:lang w:eastAsia="ru-RU"/>
              </w:rPr>
            </w:pPr>
            <w:r>
              <w:rPr>
                <w:rFonts w:ascii="Times New Roman" w:hAnsi="Times New Roman" w:eastAsia="Times New Roman"/>
                <w:b/>
                <w:color w:val="000000"/>
                <w:sz w:val="20"/>
                <w:szCs w:val="20"/>
                <w:highlight w:val="none"/>
                <w:lang w:eastAsia="ru-RU"/>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03" w:type="pct"/>
            <w:shd w:val="clear" w:color="auto" w:fill="auto"/>
            <w:vAlign w:val="center"/>
          </w:tcPr>
          <w:p>
            <w:pPr>
              <w:spacing w:after="0" w:line="240" w:lineRule="auto"/>
              <w:jc w:val="center"/>
              <w:rPr>
                <w:rFonts w:ascii="Times New Roman" w:hAnsi="Times New Roman" w:eastAsia="Times New Roman"/>
                <w:color w:val="000000"/>
                <w:sz w:val="20"/>
                <w:szCs w:val="20"/>
                <w:highlight w:val="none"/>
                <w:lang w:eastAsia="ru-RU"/>
              </w:rPr>
            </w:pPr>
            <w:r>
              <w:rPr>
                <w:rFonts w:ascii="Times New Roman" w:hAnsi="Times New Roman" w:eastAsia="Times New Roman"/>
                <w:color w:val="000000"/>
                <w:sz w:val="20"/>
                <w:szCs w:val="20"/>
                <w:highlight w:val="none"/>
                <w:lang w:eastAsia="ru-RU"/>
              </w:rPr>
              <w:t>1</w:t>
            </w:r>
          </w:p>
        </w:tc>
        <w:tc>
          <w:tcPr>
            <w:tcW w:w="1453" w:type="pct"/>
            <w:shd w:val="clear" w:color="auto" w:fill="auto"/>
            <w:vAlign w:val="center"/>
          </w:tcPr>
          <w:p>
            <w:pPr>
              <w:spacing w:after="0" w:line="240" w:lineRule="auto"/>
              <w:rPr>
                <w:rFonts w:ascii="Times New Roman" w:hAnsi="Times New Roman" w:eastAsia="Times New Roman"/>
                <w:color w:val="000000"/>
                <w:sz w:val="20"/>
                <w:szCs w:val="20"/>
                <w:highlight w:val="none"/>
                <w:lang w:eastAsia="ru-RU"/>
              </w:rPr>
            </w:pPr>
            <w:r>
              <w:rPr>
                <w:rFonts w:ascii="Times New Roman" w:hAnsi="Times New Roman" w:eastAsia="Times New Roman"/>
                <w:color w:val="000000"/>
                <w:sz w:val="20"/>
                <w:szCs w:val="20"/>
                <w:highlight w:val="none"/>
                <w:lang w:eastAsia="ru-RU"/>
              </w:rPr>
              <w:t>Индивидуальные жилые дома</w:t>
            </w:r>
          </w:p>
        </w:tc>
        <w:tc>
          <w:tcPr>
            <w:tcW w:w="1454" w:type="pct"/>
            <w:shd w:val="clear" w:color="auto" w:fill="auto"/>
          </w:tcPr>
          <w:p>
            <w:pPr>
              <w:spacing w:after="0" w:line="240" w:lineRule="auto"/>
              <w:jc w:val="center"/>
              <w:rPr>
                <w:rFonts w:ascii="Times New Roman" w:hAnsi="Times New Roman" w:eastAsia="Times New Roman"/>
                <w:color w:val="000000"/>
                <w:sz w:val="20"/>
                <w:szCs w:val="20"/>
                <w:highlight w:val="none"/>
                <w:lang w:val="en-US" w:eastAsia="ru-RU"/>
              </w:rPr>
            </w:pPr>
            <w:r>
              <w:rPr>
                <w:rFonts w:ascii="Times New Roman" w:hAnsi="Times New Roman" w:eastAsia="Times New Roman"/>
                <w:color w:val="000000"/>
                <w:sz w:val="20"/>
                <w:szCs w:val="20"/>
                <w:highlight w:val="none"/>
                <w:lang w:val="en-US" w:eastAsia="ru-RU"/>
              </w:rPr>
              <w:t>142</w:t>
            </w:r>
            <w:r>
              <w:rPr>
                <w:rFonts w:ascii="Times New Roman" w:hAnsi="Times New Roman" w:eastAsia="Times New Roman"/>
                <w:color w:val="000000"/>
                <w:sz w:val="20"/>
                <w:szCs w:val="20"/>
                <w:highlight w:val="none"/>
                <w:lang w:eastAsia="ru-RU"/>
              </w:rPr>
              <w:t xml:space="preserve"> дома</w:t>
            </w:r>
          </w:p>
        </w:tc>
        <w:tc>
          <w:tcPr>
            <w:tcW w:w="1690" w:type="pct"/>
            <w:shd w:val="clear" w:color="auto" w:fill="auto"/>
            <w:vAlign w:val="center"/>
          </w:tcPr>
          <w:p>
            <w:pPr>
              <w:spacing w:after="0" w:line="240" w:lineRule="auto"/>
              <w:jc w:val="center"/>
              <w:rPr>
                <w:rFonts w:ascii="Times New Roman" w:hAnsi="Times New Roman" w:eastAsia="Times New Roman"/>
                <w:color w:val="000000"/>
                <w:sz w:val="20"/>
                <w:szCs w:val="20"/>
                <w:highlight w:val="none"/>
                <w:lang w:eastAsia="ru-RU"/>
              </w:rPr>
            </w:pPr>
            <w:r>
              <w:rPr>
                <w:rFonts w:ascii="Times New Roman" w:hAnsi="Times New Roman" w:eastAsia="Times New Roman"/>
                <w:color w:val="000000"/>
                <w:sz w:val="20"/>
                <w:szCs w:val="20"/>
                <w:highlight w:val="none"/>
                <w:lang w:eastAsia="ru-RU"/>
              </w:rPr>
              <w:t>204,65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03" w:type="pct"/>
            <w:shd w:val="clear" w:color="auto" w:fill="auto"/>
            <w:vAlign w:val="center"/>
          </w:tcPr>
          <w:p>
            <w:pPr>
              <w:spacing w:after="0" w:line="240" w:lineRule="auto"/>
              <w:jc w:val="center"/>
              <w:rPr>
                <w:rFonts w:ascii="Times New Roman" w:hAnsi="Times New Roman" w:eastAsia="Times New Roman"/>
                <w:color w:val="000000"/>
                <w:sz w:val="20"/>
                <w:szCs w:val="20"/>
                <w:highlight w:val="none"/>
                <w:lang w:eastAsia="ru-RU"/>
              </w:rPr>
            </w:pPr>
            <w:r>
              <w:rPr>
                <w:rFonts w:ascii="Times New Roman" w:hAnsi="Times New Roman" w:eastAsia="Times New Roman"/>
                <w:color w:val="000000"/>
                <w:sz w:val="20"/>
                <w:szCs w:val="20"/>
                <w:highlight w:val="none"/>
                <w:lang w:eastAsia="ru-RU"/>
              </w:rPr>
              <w:t>2</w:t>
            </w:r>
          </w:p>
        </w:tc>
        <w:tc>
          <w:tcPr>
            <w:tcW w:w="1453" w:type="pct"/>
            <w:shd w:val="clear" w:color="auto" w:fill="auto"/>
            <w:vAlign w:val="center"/>
          </w:tcPr>
          <w:p>
            <w:pPr>
              <w:spacing w:after="0" w:line="240" w:lineRule="auto"/>
              <w:rPr>
                <w:rFonts w:ascii="Times New Roman" w:hAnsi="Times New Roman" w:eastAsia="Times New Roman"/>
                <w:color w:val="000000"/>
                <w:sz w:val="20"/>
                <w:szCs w:val="20"/>
                <w:highlight w:val="none"/>
                <w:lang w:eastAsia="ru-RU"/>
              </w:rPr>
            </w:pPr>
            <w:r>
              <w:rPr>
                <w:rFonts w:ascii="Times New Roman" w:hAnsi="Times New Roman" w:eastAsia="Times New Roman"/>
                <w:color w:val="000000"/>
                <w:sz w:val="20"/>
                <w:szCs w:val="20"/>
                <w:highlight w:val="none"/>
                <w:lang w:eastAsia="ru-RU"/>
              </w:rPr>
              <w:t>Административные здания</w:t>
            </w:r>
          </w:p>
        </w:tc>
        <w:tc>
          <w:tcPr>
            <w:tcW w:w="1454" w:type="pct"/>
            <w:shd w:val="clear" w:color="auto" w:fill="auto"/>
          </w:tcPr>
          <w:p>
            <w:pPr>
              <w:spacing w:after="0" w:line="240" w:lineRule="auto"/>
              <w:jc w:val="center"/>
              <w:rPr>
                <w:rFonts w:ascii="Times New Roman" w:hAnsi="Times New Roman" w:eastAsia="Times New Roman"/>
                <w:color w:val="000000"/>
                <w:sz w:val="20"/>
                <w:szCs w:val="20"/>
                <w:highlight w:val="none"/>
                <w:lang w:eastAsia="ru-RU"/>
              </w:rPr>
            </w:pPr>
            <w:r>
              <w:rPr>
                <w:rFonts w:ascii="Times New Roman" w:hAnsi="Times New Roman" w:eastAsia="Times New Roman"/>
                <w:color w:val="000000"/>
                <w:sz w:val="20"/>
                <w:szCs w:val="20"/>
                <w:highlight w:val="none"/>
                <w:lang w:eastAsia="ru-RU"/>
              </w:rPr>
              <w:t>2025 м2</w:t>
            </w:r>
          </w:p>
        </w:tc>
        <w:tc>
          <w:tcPr>
            <w:tcW w:w="1690" w:type="pct"/>
            <w:shd w:val="clear" w:color="auto" w:fill="auto"/>
            <w:vAlign w:val="center"/>
          </w:tcPr>
          <w:p>
            <w:pPr>
              <w:spacing w:after="0" w:line="240" w:lineRule="auto"/>
              <w:jc w:val="center"/>
              <w:rPr>
                <w:rFonts w:ascii="Times New Roman" w:hAnsi="Times New Roman" w:eastAsia="Times New Roman"/>
                <w:color w:val="000000"/>
                <w:sz w:val="20"/>
                <w:szCs w:val="20"/>
                <w:highlight w:val="none"/>
                <w:lang w:eastAsia="ru-RU"/>
              </w:rPr>
            </w:pPr>
            <w:r>
              <w:rPr>
                <w:rFonts w:ascii="Times New Roman" w:hAnsi="Times New Roman" w:eastAsia="Times New Roman"/>
                <w:color w:val="000000"/>
                <w:sz w:val="20"/>
                <w:szCs w:val="20"/>
                <w:highlight w:val="none"/>
                <w:lang w:eastAsia="ru-RU"/>
              </w:rPr>
              <w:t>42,12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3310" w:type="pct"/>
            <w:gridSpan w:val="3"/>
            <w:shd w:val="clear" w:color="auto" w:fill="auto"/>
            <w:vAlign w:val="center"/>
          </w:tcPr>
          <w:p>
            <w:pPr>
              <w:spacing w:after="0" w:line="240" w:lineRule="auto"/>
              <w:jc w:val="right"/>
              <w:rPr>
                <w:rFonts w:ascii="Times New Roman" w:hAnsi="Times New Roman" w:eastAsia="Times New Roman"/>
                <w:b/>
                <w:color w:val="000000"/>
                <w:sz w:val="20"/>
                <w:szCs w:val="20"/>
                <w:highlight w:val="none"/>
                <w:lang w:eastAsia="ru-RU"/>
              </w:rPr>
            </w:pPr>
            <w:r>
              <w:rPr>
                <w:rFonts w:ascii="Times New Roman" w:hAnsi="Times New Roman" w:eastAsia="Times New Roman"/>
                <w:b/>
                <w:color w:val="000000"/>
                <w:sz w:val="20"/>
                <w:szCs w:val="20"/>
                <w:highlight w:val="none"/>
                <w:lang w:eastAsia="ru-RU"/>
              </w:rPr>
              <w:t>Итого:</w:t>
            </w:r>
          </w:p>
        </w:tc>
        <w:tc>
          <w:tcPr>
            <w:tcW w:w="1690" w:type="pct"/>
            <w:shd w:val="clear" w:color="auto" w:fill="auto"/>
            <w:vAlign w:val="center"/>
          </w:tcPr>
          <w:p>
            <w:pPr>
              <w:spacing w:after="0" w:line="240" w:lineRule="auto"/>
              <w:jc w:val="center"/>
              <w:rPr>
                <w:rFonts w:ascii="Times New Roman" w:hAnsi="Times New Roman" w:eastAsia="Times New Roman"/>
                <w:b/>
                <w:color w:val="000000"/>
                <w:sz w:val="20"/>
                <w:szCs w:val="20"/>
                <w:highlight w:val="none"/>
                <w:lang w:eastAsia="ru-RU"/>
              </w:rPr>
            </w:pPr>
            <w:r>
              <w:rPr>
                <w:rFonts w:ascii="Times New Roman" w:hAnsi="Times New Roman" w:eastAsia="Times New Roman"/>
                <w:b/>
                <w:color w:val="000000"/>
                <w:sz w:val="20"/>
                <w:szCs w:val="20"/>
                <w:highlight w:val="none"/>
                <w:lang w:eastAsia="ru-RU"/>
              </w:rPr>
              <w:t>246,77</w:t>
            </w:r>
          </w:p>
        </w:tc>
      </w:tr>
    </w:tbl>
    <w:p>
      <w:pPr>
        <w:tabs>
          <w:tab w:val="left" w:pos="142"/>
        </w:tabs>
        <w:spacing w:after="0" w:line="300" w:lineRule="auto"/>
        <w:ind w:firstLine="709"/>
        <w:jc w:val="both"/>
        <w:rPr>
          <w:rFonts w:ascii="Times New Roman" w:hAnsi="Times New Roman"/>
          <w:sz w:val="24"/>
          <w:szCs w:val="24"/>
          <w:highlight w:val="none"/>
        </w:rPr>
      </w:pPr>
    </w:p>
    <w:p>
      <w:pPr>
        <w:pStyle w:val="4"/>
        <w:spacing w:before="120" w:after="0" w:line="300" w:lineRule="auto"/>
        <w:ind w:firstLine="709"/>
        <w:contextualSpacing/>
        <w:jc w:val="both"/>
        <w:rPr>
          <w:rFonts w:ascii="Times New Roman" w:hAnsi="Times New Roman"/>
          <w:sz w:val="24"/>
          <w:szCs w:val="24"/>
          <w:highlight w:val="none"/>
        </w:rPr>
      </w:pPr>
      <w:r>
        <w:rPr>
          <w:rFonts w:ascii="Times New Roman" w:hAnsi="Times New Roman"/>
          <w:sz w:val="24"/>
          <w:szCs w:val="24"/>
          <w:highlight w:val="none"/>
        </w:rPr>
        <w:t>СВЯЗЬ</w:t>
      </w:r>
      <w:bookmarkEnd w:id="36"/>
    </w:p>
    <w:p>
      <w:pPr>
        <w:tabs>
          <w:tab w:val="left" w:pos="142"/>
        </w:tabs>
        <w:spacing w:after="0"/>
        <w:ind w:firstLine="709"/>
        <w:jc w:val="both"/>
        <w:rPr>
          <w:rFonts w:ascii="Times New Roman" w:hAnsi="Times New Roman"/>
          <w:sz w:val="24"/>
          <w:szCs w:val="24"/>
          <w:highlight w:val="none"/>
        </w:rPr>
      </w:pPr>
      <w:r>
        <w:rPr>
          <w:rFonts w:ascii="Times New Roman" w:hAnsi="Times New Roman"/>
          <w:sz w:val="24"/>
          <w:szCs w:val="24"/>
          <w:highlight w:val="none"/>
        </w:rPr>
        <w:t>Раздел выполнен с учетом требований:</w:t>
      </w:r>
    </w:p>
    <w:p>
      <w:pPr>
        <w:numPr>
          <w:ilvl w:val="0"/>
          <w:numId w:val="21"/>
        </w:numPr>
        <w:tabs>
          <w:tab w:val="left" w:pos="709"/>
        </w:tabs>
        <w:spacing w:after="0"/>
        <w:ind w:left="0" w:firstLine="426"/>
        <w:jc w:val="both"/>
        <w:rPr>
          <w:rFonts w:ascii="Times New Roman" w:hAnsi="Times New Roman"/>
          <w:b/>
          <w:sz w:val="24"/>
          <w:szCs w:val="24"/>
          <w:highlight w:val="none"/>
        </w:rPr>
      </w:pPr>
      <w:r>
        <w:rPr>
          <w:rFonts w:ascii="Times New Roman" w:hAnsi="Times New Roman"/>
          <w:sz w:val="24"/>
          <w:szCs w:val="24"/>
          <w:highlight w:val="none"/>
        </w:rPr>
        <w:t>СП 133.13330.2012 «Сети проводного радиовещания и оповещения в зданиях и сооружениях. Нормы проектирования».</w:t>
      </w:r>
    </w:p>
    <w:p>
      <w:pPr>
        <w:spacing w:after="0"/>
        <w:ind w:firstLine="709"/>
        <w:rPr>
          <w:rFonts w:ascii="Times New Roman" w:hAnsi="Times New Roman"/>
          <w:b/>
          <w:sz w:val="24"/>
          <w:szCs w:val="24"/>
          <w:highlight w:val="none"/>
        </w:rPr>
      </w:pPr>
      <w:r>
        <w:rPr>
          <w:rFonts w:ascii="Times New Roman" w:hAnsi="Times New Roman"/>
          <w:b/>
          <w:sz w:val="24"/>
          <w:szCs w:val="24"/>
          <w:highlight w:val="none"/>
        </w:rPr>
        <w:t>Существующее положение</w:t>
      </w:r>
    </w:p>
    <w:p>
      <w:pPr>
        <w:tabs>
          <w:tab w:val="left" w:pos="142"/>
        </w:tabs>
        <w:spacing w:after="0"/>
        <w:ind w:firstLine="709"/>
        <w:jc w:val="both"/>
        <w:rPr>
          <w:rFonts w:ascii="Times New Roman" w:hAnsi="Times New Roman"/>
          <w:sz w:val="24"/>
          <w:szCs w:val="24"/>
          <w:highlight w:val="none"/>
        </w:rPr>
      </w:pPr>
      <w:r>
        <w:rPr>
          <w:rFonts w:ascii="Times New Roman" w:hAnsi="Times New Roman"/>
          <w:sz w:val="24"/>
          <w:szCs w:val="24"/>
          <w:highlight w:val="none"/>
        </w:rPr>
        <w:t xml:space="preserve">На момент разработки </w:t>
      </w:r>
      <w:r>
        <w:rPr>
          <w:rFonts w:ascii="Times New Roman" w:hAnsi="Times New Roman" w:eastAsia="Times New Roman"/>
          <w:sz w:val="24"/>
          <w:szCs w:val="24"/>
          <w:highlight w:val="none"/>
          <w:lang w:eastAsia="ru-RU"/>
        </w:rPr>
        <w:t xml:space="preserve">настоящего располагаются </w:t>
      </w:r>
      <w:r>
        <w:rPr>
          <w:rFonts w:ascii="Times New Roman" w:hAnsi="Times New Roman"/>
          <w:sz w:val="24"/>
          <w:szCs w:val="24"/>
          <w:highlight w:val="none"/>
        </w:rPr>
        <w:t>существующие сети связи протяженностью 4,847 км.</w:t>
      </w:r>
    </w:p>
    <w:p>
      <w:pPr>
        <w:spacing w:after="0"/>
        <w:ind w:firstLine="709"/>
        <w:rPr>
          <w:rFonts w:ascii="Times New Roman" w:hAnsi="Times New Roman"/>
          <w:b/>
          <w:bCs/>
          <w:sz w:val="24"/>
          <w:szCs w:val="24"/>
          <w:highlight w:val="none"/>
        </w:rPr>
      </w:pPr>
      <w:r>
        <w:rPr>
          <w:rFonts w:ascii="Times New Roman" w:hAnsi="Times New Roman"/>
          <w:b/>
          <w:sz w:val="24"/>
          <w:szCs w:val="24"/>
          <w:highlight w:val="none"/>
        </w:rPr>
        <w:t>Проектные решения</w:t>
      </w:r>
    </w:p>
    <w:p>
      <w:pPr>
        <w:tabs>
          <w:tab w:val="left" w:pos="142"/>
        </w:tabs>
        <w:spacing w:after="0"/>
        <w:ind w:firstLine="709"/>
        <w:jc w:val="both"/>
        <w:rPr>
          <w:rFonts w:ascii="Times New Roman" w:hAnsi="Times New Roman"/>
          <w:sz w:val="24"/>
          <w:szCs w:val="24"/>
          <w:highlight w:val="none"/>
        </w:rPr>
      </w:pPr>
      <w:r>
        <w:rPr>
          <w:rFonts w:ascii="Times New Roman" w:hAnsi="Times New Roman"/>
          <w:sz w:val="24"/>
          <w:szCs w:val="24"/>
          <w:highlight w:val="none"/>
        </w:rPr>
        <w:t>Проектом предлагается выполнить следующие мероприятия:</w:t>
      </w:r>
    </w:p>
    <w:p>
      <w:pPr>
        <w:numPr>
          <w:ilvl w:val="0"/>
          <w:numId w:val="20"/>
        </w:numPr>
        <w:autoSpaceDE w:val="0"/>
        <w:autoSpaceDN w:val="0"/>
        <w:adjustRightInd w:val="0"/>
        <w:spacing w:after="0"/>
        <w:ind w:left="0" w:firstLine="426"/>
        <w:contextualSpacing/>
        <w:jc w:val="both"/>
        <w:rPr>
          <w:rFonts w:ascii="Times New Roman" w:hAnsi="Times New Roman"/>
          <w:sz w:val="24"/>
          <w:szCs w:val="24"/>
          <w:highlight w:val="none"/>
        </w:rPr>
      </w:pPr>
      <w:r>
        <w:rPr>
          <w:rFonts w:ascii="Times New Roman" w:hAnsi="Times New Roman"/>
          <w:sz w:val="24"/>
          <w:szCs w:val="24"/>
          <w:highlight w:val="none"/>
        </w:rPr>
        <w:t>перекладка и прокладка сетей связи к планируемым объектам.</w:t>
      </w:r>
    </w:p>
    <w:p>
      <w:pPr>
        <w:tabs>
          <w:tab w:val="left" w:pos="142"/>
        </w:tabs>
        <w:spacing w:after="0"/>
        <w:ind w:firstLine="709"/>
        <w:jc w:val="both"/>
        <w:rPr>
          <w:rFonts w:ascii="Times New Roman" w:hAnsi="Times New Roman"/>
          <w:sz w:val="24"/>
          <w:szCs w:val="24"/>
          <w:highlight w:val="none"/>
        </w:rPr>
      </w:pPr>
      <w:r>
        <w:rPr>
          <w:rFonts w:ascii="Times New Roman" w:hAnsi="Times New Roman"/>
          <w:sz w:val="24"/>
          <w:szCs w:val="24"/>
          <w:highlight w:val="none"/>
        </w:rPr>
        <w:t>Проектом предлагается выполнить прокладку сетей связи совместно по опорам электроснабжения.</w:t>
      </w:r>
    </w:p>
    <w:p>
      <w:pPr>
        <w:tabs>
          <w:tab w:val="left" w:pos="142"/>
        </w:tabs>
        <w:spacing w:after="0"/>
        <w:ind w:firstLine="709"/>
        <w:jc w:val="both"/>
        <w:rPr>
          <w:rFonts w:ascii="Times New Roman" w:hAnsi="Times New Roman"/>
          <w:sz w:val="24"/>
          <w:szCs w:val="24"/>
          <w:highlight w:val="none"/>
        </w:rPr>
      </w:pPr>
      <w:r>
        <w:rPr>
          <w:rFonts w:ascii="Times New Roman" w:hAnsi="Times New Roman"/>
          <w:sz w:val="24"/>
          <w:szCs w:val="24"/>
          <w:highlight w:val="none"/>
        </w:rPr>
        <w:t>Ориентировочная длина демонтируемых линий связи составляет 2,532 км.</w:t>
      </w:r>
    </w:p>
    <w:p>
      <w:pPr>
        <w:shd w:val="clear"/>
        <w:tabs>
          <w:tab w:val="left" w:pos="142"/>
        </w:tabs>
        <w:spacing w:line="300" w:lineRule="auto"/>
        <w:rPr>
          <w:sz w:val="24"/>
          <w:szCs w:val="24"/>
          <w:highlight w:val="none"/>
        </w:rPr>
      </w:pPr>
      <w:r>
        <w:rPr>
          <w:rFonts w:ascii="Times New Roman" w:hAnsi="Times New Roman"/>
          <w:sz w:val="24"/>
          <w:szCs w:val="24"/>
          <w:highlight w:val="none"/>
        </w:rPr>
        <w:t>В соответствии с СП 133.13330.2012 «Сети проводного радиовещания и оповещения в зданиях и сооружениях. Нормы проектирования» потребность в телефонных номерах определяется из расчета 1 номер на квартиру и 3 номера на объект социальной инфраструктуры.</w:t>
      </w:r>
    </w:p>
    <w:p>
      <w:pPr>
        <w:shd w:val="clear"/>
        <w:spacing w:line="276" w:lineRule="auto"/>
        <w:rPr>
          <w:sz w:val="24"/>
          <w:szCs w:val="24"/>
          <w:highlight w:val="none"/>
        </w:rPr>
      </w:pPr>
    </w:p>
    <w:p>
      <w:pPr>
        <w:shd w:val="clear"/>
        <w:spacing w:line="276" w:lineRule="auto"/>
        <w:rPr>
          <w:sz w:val="24"/>
          <w:szCs w:val="24"/>
          <w:highlight w:val="none"/>
        </w:rPr>
      </w:pPr>
      <w:r>
        <w:rPr>
          <w:sz w:val="24"/>
          <w:szCs w:val="24"/>
          <w:highlight w:val="none"/>
        </w:rPr>
        <w:t>Размещение инженерных коммуникаций предусматривается в границах территории общего пользования с последующим подключением потребителей. В местах прохождения инженерных сетей по земельным участкам частной собственности предусматриваются публичные сервитуты, подлежащие установлению в соответствии с законодательством Российской Федерации.</w:t>
      </w:r>
    </w:p>
    <w:p>
      <w:pPr>
        <w:shd w:val="clear"/>
        <w:spacing w:line="276" w:lineRule="auto"/>
        <w:rPr>
          <w:sz w:val="24"/>
          <w:szCs w:val="24"/>
          <w:highlight w:val="none"/>
        </w:rPr>
      </w:pPr>
    </w:p>
    <w:p>
      <w:pPr>
        <w:shd w:val="clear"/>
        <w:spacing w:line="276" w:lineRule="auto"/>
        <w:ind w:firstLine="0"/>
        <w:rPr>
          <w:sz w:val="24"/>
          <w:szCs w:val="24"/>
          <w:highlight w:val="none"/>
        </w:rPr>
      </w:pPr>
    </w:p>
    <w:p>
      <w:pPr>
        <w:pStyle w:val="2"/>
        <w:shd w:val="clear"/>
        <w:spacing w:line="276" w:lineRule="auto"/>
        <w:ind w:firstLine="0"/>
        <w:rPr>
          <w:rFonts w:ascii="Times New Roman" w:hAnsi="Times New Roman" w:cs="Times New Roman"/>
          <w:b/>
          <w:bCs/>
          <w:color w:val="auto"/>
          <w:sz w:val="24"/>
          <w:szCs w:val="24"/>
          <w:highlight w:val="none"/>
        </w:rPr>
      </w:pPr>
      <w:bookmarkStart w:id="37" w:name="_Toc141885078"/>
      <w:r>
        <w:rPr>
          <w:rFonts w:ascii="Times New Roman" w:hAnsi="Times New Roman" w:cs="Times New Roman"/>
          <w:b/>
          <w:bCs/>
          <w:color w:val="auto"/>
          <w:sz w:val="24"/>
          <w:szCs w:val="24"/>
          <w:highlight w:val="none"/>
        </w:rPr>
        <w:t>5.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bookmarkEnd w:id="37"/>
    </w:p>
    <w:p>
      <w:pPr>
        <w:shd w:val="clear"/>
        <w:spacing w:line="276" w:lineRule="auto"/>
        <w:rPr>
          <w:highlight w:val="none"/>
        </w:rPr>
      </w:pPr>
    </w:p>
    <w:p>
      <w:pPr>
        <w:shd w:val="clear"/>
        <w:spacing w:line="276" w:lineRule="auto"/>
        <w:ind w:firstLine="567"/>
        <w:contextualSpacing/>
        <w:rPr>
          <w:rFonts w:eastAsia="Calibri"/>
          <w:iCs/>
          <w:sz w:val="24"/>
          <w:szCs w:val="24"/>
          <w:highlight w:val="none"/>
        </w:rPr>
      </w:pPr>
      <w:r>
        <w:rPr>
          <w:rFonts w:eastAsia="Calibri"/>
          <w:iCs/>
          <w:sz w:val="24"/>
          <w:szCs w:val="24"/>
          <w:highlight w:val="none"/>
        </w:rPr>
        <w:t>В границах рассматриваемой территории объекты, аварии на которых могут привести к чрезвычайной ситуации природного или техногенного характера, отсутствуют.</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 xml:space="preserve"> На территории МО «Городской округ Ногликский» находятся:</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 13 котельных (топливо - газ);</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 магистральные газопроводы;</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 магистральный нефтепровод;</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 склад нефтепродуктов;</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 нефтепарк;</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 мини-ТЭЦ.</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При техногенных авариях на пожаро-взрывоопасных объектах можно выделить следующие основные опасности: взрыв, пожар, утечки (переливы) газов и жидкостей. В результате аварий происходит отравление персонала токсическими веществами и загрязнение окружающей природной среды.</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К основным поражающим факторам при взрывах относятся: ударная волна, осколочное поле и тепловое излучение. Поражающий эффект может усиливаться при возбуждении вторичных взрывов – при возгорании и взрыве объектов с энергоносителями в результате воздействий первичного взрыва.</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Согласно СП 42.13330.2016 "Градостроительство. Планировка и застройка городских и сельских поселений":</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Для обеспечения безопасности нефтепроводов предусматриваются следующие мероприятия:</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w:t>
      </w:r>
      <w:r>
        <w:rPr>
          <w:rFonts w:eastAsia="Calibri"/>
          <w:iCs/>
          <w:sz w:val="24"/>
          <w:szCs w:val="24"/>
          <w:highlight w:val="none"/>
        </w:rPr>
        <w:tab/>
      </w:r>
      <w:r>
        <w:rPr>
          <w:rFonts w:eastAsia="Calibri"/>
          <w:iCs/>
          <w:sz w:val="24"/>
          <w:szCs w:val="24"/>
          <w:highlight w:val="none"/>
        </w:rPr>
        <w:t>организацию и ведение производственного контроля по соблюдению требований безопасности;</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w:t>
      </w:r>
      <w:r>
        <w:rPr>
          <w:rFonts w:eastAsia="Calibri"/>
          <w:iCs/>
          <w:sz w:val="24"/>
          <w:szCs w:val="24"/>
          <w:highlight w:val="none"/>
        </w:rPr>
        <w:tab/>
      </w:r>
      <w:r>
        <w:rPr>
          <w:rFonts w:eastAsia="Calibri"/>
          <w:iCs/>
          <w:sz w:val="24"/>
          <w:szCs w:val="24"/>
          <w:highlight w:val="none"/>
        </w:rPr>
        <w:t>выполнение требований правил, руководящих документов, регламентов, инструкций по эксплуатации оборудования и систем;</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w:t>
      </w:r>
      <w:r>
        <w:rPr>
          <w:rFonts w:eastAsia="Calibri"/>
          <w:iCs/>
          <w:sz w:val="24"/>
          <w:szCs w:val="24"/>
          <w:highlight w:val="none"/>
        </w:rPr>
        <w:tab/>
      </w:r>
      <w:r>
        <w:rPr>
          <w:rFonts w:eastAsia="Calibri"/>
          <w:iCs/>
          <w:sz w:val="24"/>
          <w:szCs w:val="24"/>
          <w:highlight w:val="none"/>
        </w:rPr>
        <w:t>обеспечение и допуск к работе на объектах магистральных нефтепроводов работников, удовлетворяющих соответствующим квалификационным требованиям;</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w:t>
      </w:r>
      <w:r>
        <w:rPr>
          <w:rFonts w:eastAsia="Calibri"/>
          <w:iCs/>
          <w:sz w:val="24"/>
          <w:szCs w:val="24"/>
          <w:highlight w:val="none"/>
        </w:rPr>
        <w:tab/>
      </w:r>
      <w:r>
        <w:rPr>
          <w:rFonts w:eastAsia="Calibri"/>
          <w:iCs/>
          <w:sz w:val="24"/>
          <w:szCs w:val="24"/>
          <w:highlight w:val="none"/>
        </w:rPr>
        <w:t>проведение обследований и диагностики объектов магистральных нефтепроводов, оборудования, зданий и сооружений;</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w:t>
      </w:r>
      <w:r>
        <w:rPr>
          <w:rFonts w:eastAsia="Calibri"/>
          <w:iCs/>
          <w:sz w:val="24"/>
          <w:szCs w:val="24"/>
          <w:highlight w:val="none"/>
        </w:rPr>
        <w:tab/>
      </w:r>
      <w:r>
        <w:rPr>
          <w:rFonts w:eastAsia="Calibri"/>
          <w:iCs/>
          <w:sz w:val="24"/>
          <w:szCs w:val="24"/>
          <w:highlight w:val="none"/>
        </w:rPr>
        <w:t>осуществление мероприятий по локализации и ликвидации последствий аварий и чрезвычайных ситуаций на объектах магистральных нефтепроводов, в том числе разработку планов по ликвидации аварийных разливов нефти и нефтепродуктов;</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w:t>
      </w:r>
      <w:r>
        <w:rPr>
          <w:rFonts w:eastAsia="Calibri"/>
          <w:iCs/>
          <w:sz w:val="24"/>
          <w:szCs w:val="24"/>
          <w:highlight w:val="none"/>
        </w:rPr>
        <w:tab/>
      </w:r>
      <w:r>
        <w:rPr>
          <w:rFonts w:eastAsia="Calibri"/>
          <w:iCs/>
          <w:sz w:val="24"/>
          <w:szCs w:val="24"/>
          <w:highlight w:val="none"/>
        </w:rPr>
        <w:t>ведение учета и анализа аварий, инцидентов и несчастных случаев на объектах магистральных нефтепроводов и представление данных по ним в органы государственного надзора;</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w:t>
      </w:r>
      <w:r>
        <w:rPr>
          <w:rFonts w:eastAsia="Calibri"/>
          <w:iCs/>
          <w:sz w:val="24"/>
          <w:szCs w:val="24"/>
          <w:highlight w:val="none"/>
        </w:rPr>
        <w:tab/>
      </w:r>
      <w:r>
        <w:rPr>
          <w:rFonts w:eastAsia="Calibri"/>
          <w:iCs/>
          <w:sz w:val="24"/>
          <w:szCs w:val="24"/>
          <w:highlight w:val="none"/>
        </w:rPr>
        <w:t>обеспечение требований к охранной зоне нефтепровода.</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Для обеспечения безопасности газопроводов предусматриваются следующие мероприятия:</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w:t>
      </w:r>
      <w:r>
        <w:rPr>
          <w:rFonts w:eastAsia="Calibri"/>
          <w:iCs/>
          <w:sz w:val="24"/>
          <w:szCs w:val="24"/>
          <w:highlight w:val="none"/>
        </w:rPr>
        <w:tab/>
      </w:r>
      <w:r>
        <w:rPr>
          <w:rFonts w:eastAsia="Calibri"/>
          <w:iCs/>
          <w:sz w:val="24"/>
          <w:szCs w:val="24"/>
          <w:highlight w:val="none"/>
        </w:rPr>
        <w:t>трасса газопровода отмечается на территории опознавательными знаками, на ограждении отключающей задвижки размещается надпись: «Огнеопасно - газ» с табличками-указателями охранной зоны, телефонами городской газовой службы, районного отдела по делам ГО и ЧС;</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w:t>
      </w:r>
      <w:r>
        <w:rPr>
          <w:rFonts w:eastAsia="Calibri"/>
          <w:iCs/>
          <w:sz w:val="24"/>
          <w:szCs w:val="24"/>
          <w:highlight w:val="none"/>
        </w:rPr>
        <w:tab/>
      </w:r>
      <w:r>
        <w:rPr>
          <w:rFonts w:eastAsia="Calibri"/>
          <w:iCs/>
          <w:sz w:val="24"/>
          <w:szCs w:val="24"/>
          <w:highlight w:val="none"/>
        </w:rPr>
        <w:t>материалы и технические изделия для системы газоснабжения должны соответствовать требованиям государственных стандартов и технических условий;</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w:t>
      </w:r>
      <w:r>
        <w:rPr>
          <w:rFonts w:eastAsia="Calibri"/>
          <w:iCs/>
          <w:sz w:val="24"/>
          <w:szCs w:val="24"/>
          <w:highlight w:val="none"/>
        </w:rPr>
        <w:tab/>
      </w:r>
      <w:r>
        <w:rPr>
          <w:rFonts w:eastAsia="Calibri"/>
          <w:iCs/>
          <w:sz w:val="24"/>
          <w:szCs w:val="24"/>
          <w:highlight w:val="none"/>
        </w:rPr>
        <w:t>работа по локализации и ликвидации аварийных ситуаций производится без наряда-допуска до устранения прямой угрозы жизни людей и повреждения материальных ценностей. После устранения угрозы, работы по проведению газопровода и газооборудования в технически исправное состояние, должны производиться по наряду-допуску.</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Надежность коммунальных систем жизнеобеспечения обеспечивается при проведении следующих мероприятий:</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w:t>
      </w:r>
      <w:r>
        <w:rPr>
          <w:rFonts w:eastAsia="Calibri"/>
          <w:iCs/>
          <w:sz w:val="24"/>
          <w:szCs w:val="24"/>
          <w:highlight w:val="none"/>
        </w:rPr>
        <w:tab/>
      </w:r>
      <w:r>
        <w:rPr>
          <w:rFonts w:eastAsia="Calibri"/>
          <w:iCs/>
          <w:sz w:val="24"/>
          <w:szCs w:val="24"/>
          <w:highlight w:val="none"/>
        </w:rPr>
        <w:t>планово-предупредительных ремонтов оборудования и сетей;</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w:t>
      </w:r>
      <w:r>
        <w:rPr>
          <w:rFonts w:eastAsia="Calibri"/>
          <w:iCs/>
          <w:sz w:val="24"/>
          <w:szCs w:val="24"/>
          <w:highlight w:val="none"/>
        </w:rPr>
        <w:tab/>
      </w:r>
      <w:r>
        <w:rPr>
          <w:rFonts w:eastAsia="Calibri"/>
          <w:iCs/>
          <w:sz w:val="24"/>
          <w:szCs w:val="24"/>
          <w:highlight w:val="none"/>
        </w:rPr>
        <w:t>замене и модернизации морально устаревшего технологического оборудования;</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w:t>
      </w:r>
      <w:r>
        <w:rPr>
          <w:rFonts w:eastAsia="Calibri"/>
          <w:iCs/>
          <w:sz w:val="24"/>
          <w:szCs w:val="24"/>
          <w:highlight w:val="none"/>
        </w:rPr>
        <w:tab/>
      </w:r>
      <w:r>
        <w:rPr>
          <w:rFonts w:eastAsia="Calibri"/>
          <w:iCs/>
          <w:sz w:val="24"/>
          <w:szCs w:val="24"/>
          <w:highlight w:val="none"/>
        </w:rPr>
        <w:t>установки дополнительной запорной арматуры;</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w:t>
      </w:r>
      <w:r>
        <w:rPr>
          <w:rFonts w:eastAsia="Calibri"/>
          <w:iCs/>
          <w:sz w:val="24"/>
          <w:szCs w:val="24"/>
          <w:highlight w:val="none"/>
        </w:rPr>
        <w:tab/>
      </w:r>
      <w:r>
        <w:rPr>
          <w:rFonts w:eastAsia="Calibri"/>
          <w:iCs/>
          <w:sz w:val="24"/>
          <w:szCs w:val="24"/>
          <w:highlight w:val="none"/>
        </w:rPr>
        <w:t>наличия резервного электроснабжения;</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w:t>
      </w:r>
      <w:r>
        <w:rPr>
          <w:rFonts w:eastAsia="Calibri"/>
          <w:iCs/>
          <w:sz w:val="24"/>
          <w:szCs w:val="24"/>
          <w:highlight w:val="none"/>
        </w:rPr>
        <w:tab/>
      </w:r>
      <w:r>
        <w:rPr>
          <w:rFonts w:eastAsia="Calibri"/>
          <w:iCs/>
          <w:sz w:val="24"/>
          <w:szCs w:val="24"/>
          <w:highlight w:val="none"/>
        </w:rPr>
        <w:t>замены устаревшего оборудования на новое;</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w:t>
      </w:r>
      <w:r>
        <w:rPr>
          <w:rFonts w:eastAsia="Calibri"/>
          <w:iCs/>
          <w:sz w:val="24"/>
          <w:szCs w:val="24"/>
          <w:highlight w:val="none"/>
        </w:rPr>
        <w:tab/>
      </w:r>
      <w:r>
        <w:rPr>
          <w:rFonts w:eastAsia="Calibri"/>
          <w:iCs/>
          <w:sz w:val="24"/>
          <w:szCs w:val="24"/>
          <w:highlight w:val="none"/>
        </w:rPr>
        <w:t>создания аварийного запаса материалов.</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На автомобильных дорогах предлагается провести следующие мероприятия:</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w:t>
      </w:r>
      <w:r>
        <w:rPr>
          <w:rFonts w:eastAsia="Calibri"/>
          <w:iCs/>
          <w:sz w:val="24"/>
          <w:szCs w:val="24"/>
          <w:highlight w:val="none"/>
        </w:rPr>
        <w:tab/>
      </w:r>
      <w:r>
        <w:rPr>
          <w:rFonts w:eastAsia="Calibri"/>
          <w:iCs/>
          <w:sz w:val="24"/>
          <w:szCs w:val="24"/>
          <w:highlight w:val="none"/>
        </w:rPr>
        <w:t>улучшение качества зимнего содержания дорог, в том числе очистка дорог в зимнее время от снежных валов, сужающих проезжую часть и ограничивающих видимость;</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w:t>
      </w:r>
      <w:r>
        <w:rPr>
          <w:rFonts w:eastAsia="Calibri"/>
          <w:iCs/>
          <w:sz w:val="24"/>
          <w:szCs w:val="24"/>
          <w:highlight w:val="none"/>
        </w:rPr>
        <w:tab/>
      </w:r>
      <w:r>
        <w:rPr>
          <w:rFonts w:eastAsia="Calibri"/>
          <w:iCs/>
          <w:sz w:val="24"/>
          <w:szCs w:val="24"/>
          <w:highlight w:val="none"/>
        </w:rPr>
        <w:t>устройство ограждений, разметка, установка дорожных знаков, улучшение освещения на автодорогах;</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w:t>
      </w:r>
      <w:r>
        <w:rPr>
          <w:rFonts w:eastAsia="Calibri"/>
          <w:iCs/>
          <w:sz w:val="24"/>
          <w:szCs w:val="24"/>
          <w:highlight w:val="none"/>
        </w:rPr>
        <w:tab/>
      </w:r>
      <w:r>
        <w:rPr>
          <w:rFonts w:eastAsia="Calibri"/>
          <w:iCs/>
          <w:sz w:val="24"/>
          <w:szCs w:val="24"/>
          <w:highlight w:val="none"/>
        </w:rPr>
        <w:t>реконструкция существующих дорог и прокладка нового дорожного полотна в твердом исполнении.</w:t>
      </w:r>
    </w:p>
    <w:p>
      <w:pPr>
        <w:shd w:val="clear"/>
        <w:spacing w:line="276" w:lineRule="auto"/>
        <w:ind w:firstLine="567"/>
        <w:contextualSpacing/>
        <w:rPr>
          <w:rFonts w:eastAsia="Calibri"/>
          <w:iCs/>
          <w:sz w:val="24"/>
          <w:szCs w:val="24"/>
          <w:highlight w:val="none"/>
          <w:lang w:eastAsia="ru-RU"/>
        </w:rPr>
      </w:pPr>
      <w:r>
        <w:rPr>
          <w:rFonts w:eastAsia="Calibri"/>
          <w:iCs/>
          <w:sz w:val="24"/>
          <w:szCs w:val="24"/>
          <w:highlight w:val="none"/>
        </w:rPr>
        <w:t>Наиболее характерные опасные природные процессы, имеющие место на территории МО «Городской округ Ногликский», связаны с климатическими, гидрологическими и инженерно-геологическими услови</w:t>
      </w:r>
      <w:r>
        <w:rPr>
          <w:rFonts w:eastAsia="Calibri"/>
          <w:iCs/>
          <w:sz w:val="24"/>
          <w:szCs w:val="24"/>
          <w:highlight w:val="none"/>
          <w:lang w:eastAsia="ru-RU"/>
        </w:rPr>
        <w:t>ями:</w:t>
      </w:r>
    </w:p>
    <w:p>
      <w:pPr>
        <w:shd w:val="clear"/>
        <w:spacing w:line="276" w:lineRule="auto"/>
        <w:ind w:firstLine="567"/>
        <w:contextualSpacing/>
        <w:rPr>
          <w:rFonts w:eastAsia="Calibri"/>
          <w:iCs/>
          <w:sz w:val="24"/>
          <w:szCs w:val="24"/>
          <w:highlight w:val="none"/>
          <w:lang w:eastAsia="ru-RU"/>
        </w:rPr>
      </w:pPr>
      <w:r>
        <w:rPr>
          <w:rFonts w:eastAsia="Calibri"/>
          <w:iCs/>
          <w:sz w:val="24"/>
          <w:szCs w:val="24"/>
          <w:highlight w:val="none"/>
        </w:rPr>
        <w:t>•</w:t>
      </w:r>
      <w:r>
        <w:rPr>
          <w:rFonts w:eastAsia="Calibri"/>
          <w:iCs/>
          <w:sz w:val="24"/>
          <w:szCs w:val="24"/>
          <w:highlight w:val="none"/>
        </w:rPr>
        <w:tab/>
      </w:r>
      <w:r>
        <w:rPr>
          <w:rFonts w:eastAsia="Calibri"/>
          <w:iCs/>
          <w:sz w:val="24"/>
          <w:szCs w:val="24"/>
          <w:highlight w:val="none"/>
          <w:lang w:eastAsia="ru-RU"/>
        </w:rPr>
        <w:t>опасные климатические явления;</w:t>
      </w:r>
    </w:p>
    <w:p>
      <w:pPr>
        <w:shd w:val="clear"/>
        <w:spacing w:line="276" w:lineRule="auto"/>
        <w:ind w:firstLine="567"/>
        <w:contextualSpacing/>
        <w:rPr>
          <w:rFonts w:eastAsia="Calibri"/>
          <w:iCs/>
          <w:sz w:val="24"/>
          <w:szCs w:val="24"/>
          <w:highlight w:val="none"/>
          <w:lang w:eastAsia="ru-RU"/>
        </w:rPr>
      </w:pPr>
      <w:r>
        <w:rPr>
          <w:rFonts w:eastAsia="Calibri"/>
          <w:iCs/>
          <w:sz w:val="24"/>
          <w:szCs w:val="24"/>
          <w:highlight w:val="none"/>
        </w:rPr>
        <w:t>•</w:t>
      </w:r>
      <w:r>
        <w:rPr>
          <w:rFonts w:eastAsia="Calibri"/>
          <w:iCs/>
          <w:sz w:val="24"/>
          <w:szCs w:val="24"/>
          <w:highlight w:val="none"/>
        </w:rPr>
        <w:tab/>
      </w:r>
      <w:r>
        <w:rPr>
          <w:rFonts w:eastAsia="Calibri"/>
          <w:iCs/>
          <w:sz w:val="24"/>
          <w:szCs w:val="24"/>
          <w:highlight w:val="none"/>
          <w:lang w:eastAsia="ru-RU"/>
        </w:rPr>
        <w:t>ураганные ветры;</w:t>
      </w:r>
    </w:p>
    <w:p>
      <w:pPr>
        <w:shd w:val="clear"/>
        <w:spacing w:line="276" w:lineRule="auto"/>
        <w:ind w:firstLine="567"/>
        <w:contextualSpacing/>
        <w:rPr>
          <w:rFonts w:eastAsia="Calibri"/>
          <w:iCs/>
          <w:sz w:val="24"/>
          <w:szCs w:val="24"/>
          <w:highlight w:val="none"/>
          <w:lang w:eastAsia="ru-RU"/>
        </w:rPr>
      </w:pPr>
      <w:r>
        <w:rPr>
          <w:rFonts w:eastAsia="Calibri"/>
          <w:iCs/>
          <w:sz w:val="24"/>
          <w:szCs w:val="24"/>
          <w:highlight w:val="none"/>
        </w:rPr>
        <w:t>•</w:t>
      </w:r>
      <w:r>
        <w:rPr>
          <w:rFonts w:eastAsia="Calibri"/>
          <w:iCs/>
          <w:sz w:val="24"/>
          <w:szCs w:val="24"/>
          <w:highlight w:val="none"/>
        </w:rPr>
        <w:tab/>
      </w:r>
      <w:r>
        <w:rPr>
          <w:rFonts w:eastAsia="Calibri"/>
          <w:iCs/>
          <w:sz w:val="24"/>
          <w:szCs w:val="24"/>
          <w:highlight w:val="none"/>
          <w:lang w:eastAsia="ru-RU"/>
        </w:rPr>
        <w:t>затопление;</w:t>
      </w:r>
    </w:p>
    <w:p>
      <w:pPr>
        <w:shd w:val="clear"/>
        <w:spacing w:line="276" w:lineRule="auto"/>
        <w:ind w:firstLine="567"/>
        <w:contextualSpacing/>
        <w:rPr>
          <w:rFonts w:eastAsia="Calibri"/>
          <w:iCs/>
          <w:sz w:val="24"/>
          <w:szCs w:val="24"/>
          <w:highlight w:val="none"/>
          <w:lang w:eastAsia="ru-RU"/>
        </w:rPr>
      </w:pPr>
      <w:r>
        <w:rPr>
          <w:rFonts w:eastAsia="Calibri"/>
          <w:iCs/>
          <w:sz w:val="24"/>
          <w:szCs w:val="24"/>
          <w:highlight w:val="none"/>
        </w:rPr>
        <w:t>•</w:t>
      </w:r>
      <w:r>
        <w:rPr>
          <w:rFonts w:eastAsia="Calibri"/>
          <w:iCs/>
          <w:sz w:val="24"/>
          <w:szCs w:val="24"/>
          <w:highlight w:val="none"/>
        </w:rPr>
        <w:tab/>
      </w:r>
      <w:r>
        <w:rPr>
          <w:rFonts w:eastAsia="Calibri"/>
          <w:iCs/>
          <w:sz w:val="24"/>
          <w:szCs w:val="24"/>
          <w:highlight w:val="none"/>
          <w:lang w:eastAsia="ru-RU"/>
        </w:rPr>
        <w:t>подтопления;</w:t>
      </w:r>
    </w:p>
    <w:p>
      <w:pPr>
        <w:shd w:val="clear"/>
        <w:spacing w:line="276" w:lineRule="auto"/>
        <w:ind w:firstLine="567"/>
        <w:contextualSpacing/>
        <w:rPr>
          <w:rFonts w:eastAsia="Calibri"/>
          <w:iCs/>
          <w:sz w:val="24"/>
          <w:szCs w:val="24"/>
          <w:highlight w:val="none"/>
          <w:lang w:eastAsia="ru-RU"/>
        </w:rPr>
      </w:pPr>
      <w:r>
        <w:rPr>
          <w:rFonts w:eastAsia="Calibri"/>
          <w:iCs/>
          <w:sz w:val="24"/>
          <w:szCs w:val="24"/>
          <w:highlight w:val="none"/>
        </w:rPr>
        <w:t>•</w:t>
      </w:r>
      <w:r>
        <w:rPr>
          <w:rFonts w:eastAsia="Calibri"/>
          <w:iCs/>
          <w:sz w:val="24"/>
          <w:szCs w:val="24"/>
          <w:highlight w:val="none"/>
        </w:rPr>
        <w:tab/>
      </w:r>
      <w:r>
        <w:rPr>
          <w:rFonts w:eastAsia="Calibri"/>
          <w:iCs/>
          <w:sz w:val="24"/>
          <w:szCs w:val="24"/>
          <w:highlight w:val="none"/>
          <w:lang w:eastAsia="ru-RU"/>
        </w:rPr>
        <w:t>природные пожары;</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w:t>
      </w:r>
      <w:r>
        <w:rPr>
          <w:rFonts w:eastAsia="Calibri"/>
          <w:iCs/>
          <w:sz w:val="24"/>
          <w:szCs w:val="24"/>
          <w:highlight w:val="none"/>
        </w:rPr>
        <w:tab/>
      </w:r>
      <w:r>
        <w:rPr>
          <w:rFonts w:eastAsia="Calibri"/>
          <w:iCs/>
          <w:sz w:val="24"/>
          <w:szCs w:val="24"/>
          <w:highlight w:val="none"/>
          <w:lang w:eastAsia="ru-RU"/>
        </w:rPr>
        <w:t>опасные геологические процессы (землетрясения, сели).</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Неблагоприятные климатические явления (туман, метели, крупный град, снежные заносы, сильный мороз, ураганный ветер и другие) возможны на территории муниципального образования. Они приводят к нарушению жизнеобеспечения населения, авариям на коммунальных и энергетических сетях, нарушению работы транспорта.</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Для прогноза опасных природных воздействий следует применять структурно-геоморфологические, геологические, геофизические, сейсмологические, инженерно-геологические и гидрогеологические, инженерно-экологические, инженерно-гидрометеорологические и инженерно-геодезические методы исследования, а также их комплексирование с учетом сложности природной и природно-техногенной обстановки на территории.</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Результаты оценки опасности природных, в том числе геофизических воздействий, должны быть учтены при разработке документации на строительство зданий и сооружений.</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Чрезвычайные ситуации, связанные с возникновением пожаров на территории, чаще всего возникают на объектах социального и культурно-бытового обслуживания, причинами которых в основном являются нарушения правил пожарной безопасности, правил эксплуатации электрооборудования и неосторожное обращение с огнем.</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В соответствии с Федеральным законом от 22.07.2008 № 123-ФЗ «Технический регламент о требованиях пожарной безопасности» (далее - Федеральный закон от 22.07.2008 № 123-ФЗ) к опасным факторам пожара, воздействующим на людей и имущество, относятся:</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w:t>
      </w:r>
      <w:r>
        <w:rPr>
          <w:rFonts w:eastAsia="Calibri"/>
          <w:iCs/>
          <w:sz w:val="24"/>
          <w:szCs w:val="24"/>
          <w:highlight w:val="none"/>
        </w:rPr>
        <w:tab/>
      </w:r>
      <w:r>
        <w:rPr>
          <w:rFonts w:eastAsia="Calibri"/>
          <w:iCs/>
          <w:sz w:val="24"/>
          <w:szCs w:val="24"/>
          <w:highlight w:val="none"/>
        </w:rPr>
        <w:t>пламя и искры;</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w:t>
      </w:r>
      <w:r>
        <w:rPr>
          <w:rFonts w:eastAsia="Calibri"/>
          <w:iCs/>
          <w:sz w:val="24"/>
          <w:szCs w:val="24"/>
          <w:highlight w:val="none"/>
        </w:rPr>
        <w:tab/>
      </w:r>
      <w:r>
        <w:rPr>
          <w:rFonts w:eastAsia="Calibri"/>
          <w:iCs/>
          <w:sz w:val="24"/>
          <w:szCs w:val="24"/>
          <w:highlight w:val="none"/>
        </w:rPr>
        <w:t>тепловой поток;</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w:t>
      </w:r>
      <w:r>
        <w:rPr>
          <w:rFonts w:eastAsia="Calibri"/>
          <w:iCs/>
          <w:sz w:val="24"/>
          <w:szCs w:val="24"/>
          <w:highlight w:val="none"/>
        </w:rPr>
        <w:tab/>
      </w:r>
      <w:r>
        <w:rPr>
          <w:rFonts w:eastAsia="Calibri"/>
          <w:iCs/>
          <w:sz w:val="24"/>
          <w:szCs w:val="24"/>
          <w:highlight w:val="none"/>
        </w:rPr>
        <w:t>повышенная температура окружающей среды;</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w:t>
      </w:r>
      <w:r>
        <w:rPr>
          <w:rFonts w:eastAsia="Calibri"/>
          <w:iCs/>
          <w:sz w:val="24"/>
          <w:szCs w:val="24"/>
          <w:highlight w:val="none"/>
        </w:rPr>
        <w:tab/>
      </w:r>
      <w:r>
        <w:rPr>
          <w:rFonts w:eastAsia="Calibri"/>
          <w:iCs/>
          <w:sz w:val="24"/>
          <w:szCs w:val="24"/>
          <w:highlight w:val="none"/>
        </w:rPr>
        <w:t>повышенная концентрация токсичных продуктов горения и термического разложения;</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w:t>
      </w:r>
      <w:r>
        <w:rPr>
          <w:rFonts w:eastAsia="Calibri"/>
          <w:iCs/>
          <w:sz w:val="24"/>
          <w:szCs w:val="24"/>
          <w:highlight w:val="none"/>
        </w:rPr>
        <w:tab/>
      </w:r>
      <w:r>
        <w:rPr>
          <w:rFonts w:eastAsia="Calibri"/>
          <w:iCs/>
          <w:sz w:val="24"/>
          <w:szCs w:val="24"/>
          <w:highlight w:val="none"/>
        </w:rPr>
        <w:t>пониженная концентрация кислорода;</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w:t>
      </w:r>
      <w:r>
        <w:rPr>
          <w:rFonts w:eastAsia="Calibri"/>
          <w:iCs/>
          <w:sz w:val="24"/>
          <w:szCs w:val="24"/>
          <w:highlight w:val="none"/>
        </w:rPr>
        <w:tab/>
      </w:r>
      <w:r>
        <w:rPr>
          <w:rFonts w:eastAsia="Calibri"/>
          <w:iCs/>
          <w:sz w:val="24"/>
          <w:szCs w:val="24"/>
          <w:highlight w:val="none"/>
        </w:rPr>
        <w:t>снижение видимости в дыму.</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К сопутствующим проявлениям опасных факторов пожара относятся:</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w:t>
      </w:r>
      <w:r>
        <w:rPr>
          <w:rFonts w:eastAsia="Calibri"/>
          <w:iCs/>
          <w:sz w:val="24"/>
          <w:szCs w:val="24"/>
          <w:highlight w:val="none"/>
        </w:rPr>
        <w:tab/>
      </w:r>
      <w:r>
        <w:rPr>
          <w:rFonts w:eastAsia="Calibri"/>
          <w:iCs/>
          <w:sz w:val="24"/>
          <w:szCs w:val="24"/>
          <w:highlight w:val="none"/>
        </w:rPr>
        <w:t>осколки, части разрушившихся зданий, сооружений, строений, транспортных средств, технологических установок, оборудования, агрегатов, изделий и иного имущества;</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w:t>
      </w:r>
      <w:r>
        <w:rPr>
          <w:rFonts w:eastAsia="Calibri"/>
          <w:iCs/>
          <w:sz w:val="24"/>
          <w:szCs w:val="24"/>
          <w:highlight w:val="none"/>
        </w:rPr>
        <w:tab/>
      </w:r>
      <w:r>
        <w:rPr>
          <w:rFonts w:eastAsia="Calibri"/>
          <w:iCs/>
          <w:sz w:val="24"/>
          <w:szCs w:val="24"/>
          <w:highlight w:val="none"/>
        </w:rPr>
        <w:t>радиоактивные и токсичные вещества и материалы, попавшие в окружающую среду из разрушенных технологических установок, оборудования, агрегатов, изделий и иного имущества;</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w:t>
      </w:r>
      <w:r>
        <w:rPr>
          <w:rFonts w:eastAsia="Calibri"/>
          <w:iCs/>
          <w:sz w:val="24"/>
          <w:szCs w:val="24"/>
          <w:highlight w:val="none"/>
        </w:rPr>
        <w:tab/>
      </w:r>
      <w:r>
        <w:rPr>
          <w:rFonts w:eastAsia="Calibri"/>
          <w:iCs/>
          <w:sz w:val="24"/>
          <w:szCs w:val="24"/>
          <w:highlight w:val="none"/>
        </w:rPr>
        <w:t>вынос высокого напряжения на токопроводящие части технологических установок, оборудования, агрегатов, изделий и иного имущества;</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w:t>
      </w:r>
      <w:r>
        <w:rPr>
          <w:rFonts w:eastAsia="Calibri"/>
          <w:iCs/>
          <w:sz w:val="24"/>
          <w:szCs w:val="24"/>
          <w:highlight w:val="none"/>
        </w:rPr>
        <w:tab/>
      </w:r>
      <w:r>
        <w:rPr>
          <w:rFonts w:eastAsia="Calibri"/>
          <w:iCs/>
          <w:sz w:val="24"/>
          <w:szCs w:val="24"/>
          <w:highlight w:val="none"/>
        </w:rPr>
        <w:t>опасные факторы взрыва, происшедшего вследствие пожара;</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w:t>
      </w:r>
      <w:r>
        <w:rPr>
          <w:rFonts w:eastAsia="Calibri"/>
          <w:iCs/>
          <w:sz w:val="24"/>
          <w:szCs w:val="24"/>
          <w:highlight w:val="none"/>
        </w:rPr>
        <w:tab/>
      </w:r>
      <w:r>
        <w:rPr>
          <w:rFonts w:eastAsia="Calibri"/>
          <w:iCs/>
          <w:sz w:val="24"/>
          <w:szCs w:val="24"/>
          <w:highlight w:val="none"/>
        </w:rPr>
        <w:t>воздействие огнетушащих веществ.</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В соответствии с Федеральным законом от 22.07.2008 № 123-ФЗ, защита людей и имущества от воздействия опасных факторов пожара и (или) ограничение последствий их воздействия обеспечиваются одним или несколькими из следующих способов:</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w:t>
      </w:r>
      <w:r>
        <w:rPr>
          <w:rFonts w:eastAsia="Calibri"/>
          <w:iCs/>
          <w:sz w:val="24"/>
          <w:szCs w:val="24"/>
          <w:highlight w:val="none"/>
        </w:rPr>
        <w:tab/>
      </w:r>
      <w:r>
        <w:rPr>
          <w:rFonts w:eastAsia="Calibri"/>
          <w:iCs/>
          <w:sz w:val="24"/>
          <w:szCs w:val="24"/>
          <w:highlight w:val="none"/>
        </w:rPr>
        <w:t>применение объемно-планировочных решений и средств, обеспечивающих ограничение распространения пожара за пределы очага;</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w:t>
      </w:r>
      <w:r>
        <w:rPr>
          <w:rFonts w:eastAsia="Calibri"/>
          <w:iCs/>
          <w:sz w:val="24"/>
          <w:szCs w:val="24"/>
          <w:highlight w:val="none"/>
        </w:rPr>
        <w:tab/>
      </w:r>
      <w:r>
        <w:rPr>
          <w:rFonts w:eastAsia="Calibri"/>
          <w:iCs/>
          <w:sz w:val="24"/>
          <w:szCs w:val="24"/>
          <w:highlight w:val="none"/>
        </w:rPr>
        <w:t>устройство эвакуационных путей, удовлетворяющих требованиям безопасной эвакуации людей при пожаре;</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w:t>
      </w:r>
      <w:r>
        <w:rPr>
          <w:rFonts w:eastAsia="Calibri"/>
          <w:iCs/>
          <w:sz w:val="24"/>
          <w:szCs w:val="24"/>
          <w:highlight w:val="none"/>
        </w:rPr>
        <w:tab/>
      </w:r>
      <w:r>
        <w:rPr>
          <w:rFonts w:eastAsia="Calibri"/>
          <w:iCs/>
          <w:sz w:val="24"/>
          <w:szCs w:val="24"/>
          <w:highlight w:val="none"/>
        </w:rPr>
        <w:t>устройство систем обнаружения пожара (установок и систем пожарной сигнализации), оповещения и управления эвакуацией людей при пожаре;</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w:t>
      </w:r>
      <w:r>
        <w:rPr>
          <w:rFonts w:eastAsia="Calibri"/>
          <w:iCs/>
          <w:sz w:val="24"/>
          <w:szCs w:val="24"/>
          <w:highlight w:val="none"/>
        </w:rPr>
        <w:tab/>
      </w:r>
      <w:r>
        <w:rPr>
          <w:rFonts w:eastAsia="Calibri"/>
          <w:iCs/>
          <w:sz w:val="24"/>
          <w:szCs w:val="24"/>
          <w:highlight w:val="none"/>
        </w:rPr>
        <w:t>применение систем коллективной защиты (в том числе противодымной) и средств индивидуальной защиты людей от воздействия опасных факторов пожара;</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w:t>
      </w:r>
      <w:r>
        <w:rPr>
          <w:rFonts w:eastAsia="Calibri"/>
          <w:iCs/>
          <w:sz w:val="24"/>
          <w:szCs w:val="24"/>
          <w:highlight w:val="none"/>
        </w:rPr>
        <w:tab/>
      </w:r>
      <w:r>
        <w:rPr>
          <w:rFonts w:eastAsia="Calibri"/>
          <w:iCs/>
          <w:sz w:val="24"/>
          <w:szCs w:val="24"/>
          <w:highlight w:val="none"/>
        </w:rPr>
        <w:t>применение основных строительных конструкций с пределами огнестойкости и классами пожарной опасности;</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w:t>
      </w:r>
      <w:r>
        <w:rPr>
          <w:rFonts w:eastAsia="Calibri"/>
          <w:iCs/>
          <w:sz w:val="24"/>
          <w:szCs w:val="24"/>
          <w:highlight w:val="none"/>
        </w:rPr>
        <w:tab/>
      </w:r>
      <w:r>
        <w:rPr>
          <w:rFonts w:eastAsia="Calibri"/>
          <w:iCs/>
          <w:sz w:val="24"/>
          <w:szCs w:val="24"/>
          <w:highlight w:val="none"/>
        </w:rPr>
        <w:t>устройство на технологическом оборудовании систем противовзрывной защиты;</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w:t>
      </w:r>
      <w:r>
        <w:rPr>
          <w:rFonts w:eastAsia="Calibri"/>
          <w:iCs/>
          <w:sz w:val="24"/>
          <w:szCs w:val="24"/>
          <w:highlight w:val="none"/>
        </w:rPr>
        <w:tab/>
      </w:r>
      <w:r>
        <w:rPr>
          <w:rFonts w:eastAsia="Calibri"/>
          <w:iCs/>
          <w:sz w:val="24"/>
          <w:szCs w:val="24"/>
          <w:highlight w:val="none"/>
        </w:rPr>
        <w:t>применение первичных средств пожаротушения;</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w:t>
      </w:r>
      <w:r>
        <w:rPr>
          <w:rFonts w:eastAsia="Calibri"/>
          <w:iCs/>
          <w:sz w:val="24"/>
          <w:szCs w:val="24"/>
          <w:highlight w:val="none"/>
        </w:rPr>
        <w:tab/>
      </w:r>
      <w:r>
        <w:rPr>
          <w:rFonts w:eastAsia="Calibri"/>
          <w:iCs/>
          <w:sz w:val="24"/>
          <w:szCs w:val="24"/>
          <w:highlight w:val="none"/>
        </w:rPr>
        <w:t>организация деятельности подразделений пожарной охраны.</w:t>
      </w:r>
    </w:p>
    <w:p>
      <w:pPr>
        <w:shd w:val="clear"/>
        <w:spacing w:line="276" w:lineRule="auto"/>
        <w:ind w:firstLine="567"/>
        <w:contextualSpacing/>
        <w:rPr>
          <w:rFonts w:eastAsia="Calibri"/>
          <w:iCs/>
          <w:sz w:val="24"/>
          <w:szCs w:val="24"/>
          <w:highlight w:val="none"/>
        </w:rPr>
      </w:pPr>
      <w:r>
        <w:rPr>
          <w:rFonts w:eastAsia="Calibri"/>
          <w:iCs/>
          <w:sz w:val="24"/>
          <w:szCs w:val="24"/>
          <w:highlight w:val="none"/>
        </w:rPr>
        <w:t>Здания, сооружения и строения должны быть обеспечены первичными средствами пожаротушения лицами, уполномоченными владеть, пользоваться или распоряжаться зданиями, сооружениями и строениями.</w:t>
      </w:r>
    </w:p>
    <w:p>
      <w:pPr>
        <w:shd w:val="clear"/>
        <w:spacing w:line="276" w:lineRule="auto"/>
        <w:rPr>
          <w:sz w:val="24"/>
          <w:szCs w:val="24"/>
          <w:highlight w:val="none"/>
        </w:rPr>
      </w:pPr>
    </w:p>
    <w:p>
      <w:pPr>
        <w:shd w:val="clear"/>
        <w:spacing w:line="276" w:lineRule="auto"/>
        <w:rPr>
          <w:sz w:val="24"/>
          <w:szCs w:val="24"/>
          <w:highlight w:val="none"/>
        </w:rPr>
      </w:pPr>
      <w:r>
        <w:rPr>
          <w:sz w:val="24"/>
          <w:szCs w:val="24"/>
          <w:highlight w:val="none"/>
        </w:rPr>
        <w:t>Территория в границах проекта планировки, согласно СП 165.1325800-2014, находится вне зон возможной опасности.  Разработка мероприятий по гражданской обороне, мероприятий по предупреждению чрезвычайных ситуаций природного и техногенного характера не требуется.</w:t>
      </w:r>
    </w:p>
    <w:p>
      <w:pPr>
        <w:pStyle w:val="2"/>
        <w:shd w:val="clear"/>
        <w:spacing w:line="276" w:lineRule="auto"/>
        <w:ind w:firstLine="0"/>
        <w:rPr>
          <w:rFonts w:ascii="Times New Roman" w:hAnsi="Times New Roman" w:cs="Times New Roman"/>
          <w:b/>
          <w:bCs/>
          <w:color w:val="auto"/>
          <w:sz w:val="24"/>
          <w:szCs w:val="24"/>
          <w:highlight w:val="none"/>
        </w:rPr>
      </w:pPr>
      <w:bookmarkStart w:id="38" w:name="_Toc141885079"/>
      <w:r>
        <w:rPr>
          <w:rFonts w:ascii="Times New Roman" w:hAnsi="Times New Roman" w:cs="Times New Roman"/>
          <w:b/>
          <w:bCs/>
          <w:color w:val="auto"/>
          <w:sz w:val="24"/>
          <w:szCs w:val="24"/>
          <w:highlight w:val="none"/>
        </w:rPr>
        <w:t>6. Перечень мероприятий по охране окружающей среды</w:t>
      </w:r>
      <w:bookmarkEnd w:id="38"/>
    </w:p>
    <w:p>
      <w:pPr>
        <w:shd w:val="clear"/>
        <w:spacing w:line="276" w:lineRule="auto"/>
        <w:rPr>
          <w:sz w:val="24"/>
          <w:szCs w:val="24"/>
          <w:highlight w:val="none"/>
        </w:rPr>
      </w:pPr>
    </w:p>
    <w:p>
      <w:pPr>
        <w:shd w:val="clear"/>
        <w:spacing w:line="276" w:lineRule="auto"/>
        <w:rPr>
          <w:sz w:val="24"/>
          <w:szCs w:val="24"/>
          <w:highlight w:val="none"/>
        </w:rPr>
      </w:pPr>
      <w:r>
        <w:rPr>
          <w:sz w:val="24"/>
          <w:szCs w:val="24"/>
          <w:highlight w:val="none"/>
        </w:rPr>
        <w:t xml:space="preserve">Комплекс рекомендаций по охране окружающей среды включает технические и технологические мероприятия, мероприятия по совершенствованию системы экологических ограничений хозяйственной деятельности, градостроительные мероприятия. </w:t>
      </w:r>
    </w:p>
    <w:p>
      <w:pPr>
        <w:shd w:val="clear"/>
        <w:spacing w:line="276" w:lineRule="auto"/>
        <w:rPr>
          <w:sz w:val="24"/>
          <w:szCs w:val="24"/>
          <w:highlight w:val="none"/>
        </w:rPr>
      </w:pPr>
      <w:r>
        <w:rPr>
          <w:sz w:val="24"/>
          <w:szCs w:val="24"/>
          <w:highlight w:val="none"/>
        </w:rPr>
        <w:t>К факторам воздействия на окружающую среду, способным вызывать локальные экологические изменения и нарушения на территории проекта планировки на этапе строительства относятся: транспортное загрязнение (выбросы продуктов сгорания топлива, механические, физические воздействия); изменение ландшафта (расчленение, изменение рельефа и т.п.); технологические воздействия (загрязнение строительной техникой, изъятие территорий). А более поздних этапах – уже самими объектами капительного строительства.</w:t>
      </w:r>
    </w:p>
    <w:p>
      <w:pPr>
        <w:pStyle w:val="30"/>
        <w:shd w:val="clear"/>
        <w:spacing w:line="276" w:lineRule="auto"/>
        <w:rPr>
          <w:szCs w:val="24"/>
          <w:highlight w:val="none"/>
        </w:rPr>
      </w:pPr>
      <w:r>
        <w:rPr>
          <w:szCs w:val="24"/>
          <w:highlight w:val="none"/>
        </w:rPr>
        <w:t>Воздействие на атмосферный воздух ожидается как в период строительства объектов предусмотренных проектом планировки, так и в процессе их эксплуатации.</w:t>
      </w:r>
    </w:p>
    <w:p>
      <w:pPr>
        <w:pStyle w:val="30"/>
        <w:shd w:val="clear"/>
        <w:spacing w:line="276" w:lineRule="auto"/>
        <w:rPr>
          <w:szCs w:val="24"/>
          <w:highlight w:val="none"/>
        </w:rPr>
      </w:pPr>
      <w:r>
        <w:rPr>
          <w:szCs w:val="24"/>
          <w:highlight w:val="none"/>
        </w:rPr>
        <w:t>При строительстве возможны механические и химические негативные воздействия на состояние почвенного покрова. Механические воздействия связаны с использованием при строительстве тяжелой техники, оборудованием площадок под стоянки автомобильного транспорта и строительных машин, строительства временных производственных помещений, размещением полигонов временных строительных свалок. Химическое воздействие связано с загрязнением почв от оседания частиц выхлопных газов транспорта строительной техники при производстве строительно-монтажных работ, и при въезде техники при эксплуатации территории.</w:t>
      </w:r>
    </w:p>
    <w:p>
      <w:pPr>
        <w:pStyle w:val="30"/>
        <w:shd w:val="clear"/>
        <w:spacing w:line="276" w:lineRule="auto"/>
        <w:rPr>
          <w:szCs w:val="24"/>
          <w:highlight w:val="none"/>
        </w:rPr>
      </w:pPr>
      <w:r>
        <w:rPr>
          <w:szCs w:val="24"/>
          <w:highlight w:val="none"/>
        </w:rPr>
        <w:t>Кроме того, проведение строительных работ на объекте будет оказывать шумовое воздействие.</w:t>
      </w:r>
    </w:p>
    <w:p>
      <w:pPr>
        <w:pStyle w:val="30"/>
        <w:shd w:val="clear"/>
        <w:spacing w:line="276" w:lineRule="auto"/>
        <w:rPr>
          <w:szCs w:val="24"/>
          <w:highlight w:val="none"/>
        </w:rPr>
      </w:pPr>
      <w:r>
        <w:rPr>
          <w:szCs w:val="24"/>
          <w:highlight w:val="none"/>
        </w:rPr>
        <w:t>Для минимизации ущерба окружающей природной среде при строительстве проектируемых объектов необходимо руководствоваться требованиями нормативных документов в области охраны окружающей природной среды.</w:t>
      </w:r>
    </w:p>
    <w:p>
      <w:pPr>
        <w:pStyle w:val="30"/>
        <w:shd w:val="clear"/>
        <w:spacing w:line="276" w:lineRule="auto"/>
        <w:rPr>
          <w:szCs w:val="24"/>
          <w:highlight w:val="none"/>
        </w:rPr>
      </w:pPr>
      <w:r>
        <w:rPr>
          <w:szCs w:val="24"/>
          <w:highlight w:val="none"/>
        </w:rPr>
        <w:t>Предлагаемый ниже комплекс мероприятий по охране окружающей среды позволит значительно уменьшить негативное воздействие при строительстве и эксплуатации объектов на природную среду.</w:t>
      </w:r>
    </w:p>
    <w:p>
      <w:pPr>
        <w:shd w:val="clear"/>
        <w:ind w:firstLine="567"/>
        <w:rPr>
          <w:szCs w:val="28"/>
          <w:highlight w:val="none"/>
        </w:rPr>
      </w:pPr>
    </w:p>
    <w:p>
      <w:pPr>
        <w:pStyle w:val="58"/>
        <w:shd w:val="clear"/>
        <w:spacing w:before="0" w:after="0" w:line="276" w:lineRule="auto"/>
        <w:ind w:left="0" w:firstLine="567"/>
        <w:rPr>
          <w:highlight w:val="none"/>
          <w:u w:val="none"/>
        </w:rPr>
      </w:pPr>
      <w:r>
        <w:rPr>
          <w:highlight w:val="none"/>
          <w:u w:val="none"/>
        </w:rPr>
        <w:t>Мероприятия по защите атмосферного воздуха</w:t>
      </w:r>
    </w:p>
    <w:p>
      <w:pPr>
        <w:pStyle w:val="30"/>
        <w:shd w:val="clear"/>
        <w:spacing w:line="276" w:lineRule="auto"/>
        <w:rPr>
          <w:szCs w:val="24"/>
          <w:highlight w:val="none"/>
        </w:rPr>
      </w:pPr>
      <w:r>
        <w:rPr>
          <w:szCs w:val="24"/>
          <w:highlight w:val="none"/>
        </w:rPr>
        <w:t>С целью защиты атмосферного воздуха проектируемой территории и прилегающих районов от загрязнения, проектом предусмотрены следующие воздухоохранные мероприятия.</w:t>
      </w:r>
    </w:p>
    <w:p>
      <w:pPr>
        <w:pStyle w:val="30"/>
        <w:shd w:val="clear"/>
        <w:spacing w:line="276" w:lineRule="auto"/>
        <w:rPr>
          <w:szCs w:val="24"/>
          <w:highlight w:val="none"/>
        </w:rPr>
      </w:pPr>
      <w:r>
        <w:rPr>
          <w:szCs w:val="24"/>
          <w:highlight w:val="none"/>
        </w:rPr>
        <w:t>На этапе строительства:</w:t>
      </w:r>
    </w:p>
    <w:p>
      <w:pPr>
        <w:pStyle w:val="22"/>
        <w:numPr>
          <w:ilvl w:val="0"/>
          <w:numId w:val="22"/>
        </w:numPr>
        <w:shd w:val="clear"/>
        <w:autoSpaceDE w:val="0"/>
        <w:autoSpaceDN w:val="0"/>
        <w:adjustRightInd w:val="0"/>
        <w:spacing w:line="276" w:lineRule="auto"/>
        <w:ind w:right="-1"/>
        <w:rPr>
          <w:sz w:val="24"/>
          <w:szCs w:val="24"/>
          <w:highlight w:val="none"/>
        </w:rPr>
      </w:pPr>
      <w:r>
        <w:rPr>
          <w:sz w:val="24"/>
          <w:szCs w:val="24"/>
          <w:highlight w:val="none"/>
        </w:rPr>
        <w:t>минимизация времени работы оборудования на холостом ходу;</w:t>
      </w:r>
    </w:p>
    <w:p>
      <w:pPr>
        <w:pStyle w:val="22"/>
        <w:numPr>
          <w:ilvl w:val="0"/>
          <w:numId w:val="22"/>
        </w:numPr>
        <w:shd w:val="clear"/>
        <w:autoSpaceDE w:val="0"/>
        <w:autoSpaceDN w:val="0"/>
        <w:adjustRightInd w:val="0"/>
        <w:spacing w:line="276" w:lineRule="auto"/>
        <w:ind w:right="-1"/>
        <w:rPr>
          <w:sz w:val="24"/>
          <w:szCs w:val="24"/>
          <w:highlight w:val="none"/>
        </w:rPr>
      </w:pPr>
      <w:r>
        <w:rPr>
          <w:sz w:val="24"/>
          <w:szCs w:val="24"/>
          <w:highlight w:val="none"/>
        </w:rPr>
        <w:t>использование технически исправного оборудования, оборудованного системами нейтрализации загрязняющих веществ;</w:t>
      </w:r>
    </w:p>
    <w:p>
      <w:pPr>
        <w:pStyle w:val="22"/>
        <w:numPr>
          <w:ilvl w:val="0"/>
          <w:numId w:val="22"/>
        </w:numPr>
        <w:shd w:val="clear"/>
        <w:autoSpaceDE w:val="0"/>
        <w:autoSpaceDN w:val="0"/>
        <w:adjustRightInd w:val="0"/>
        <w:spacing w:line="276" w:lineRule="auto"/>
        <w:ind w:right="-1"/>
        <w:rPr>
          <w:sz w:val="24"/>
          <w:szCs w:val="24"/>
          <w:highlight w:val="none"/>
        </w:rPr>
      </w:pPr>
      <w:r>
        <w:rPr>
          <w:sz w:val="24"/>
          <w:szCs w:val="24"/>
          <w:highlight w:val="none"/>
        </w:rPr>
        <w:t>использование технически исправного автотранспорта, прошедшего ежегодный технический осмотр, регулярное проведение работ на СТО по контролю токсичности отработанных газов в соответствии с ГОСТ;</w:t>
      </w:r>
    </w:p>
    <w:p>
      <w:pPr>
        <w:pStyle w:val="22"/>
        <w:numPr>
          <w:ilvl w:val="0"/>
          <w:numId w:val="22"/>
        </w:numPr>
        <w:shd w:val="clear"/>
        <w:autoSpaceDE w:val="0"/>
        <w:autoSpaceDN w:val="0"/>
        <w:adjustRightInd w:val="0"/>
        <w:spacing w:line="276" w:lineRule="auto"/>
        <w:ind w:right="-1"/>
        <w:rPr>
          <w:sz w:val="24"/>
          <w:szCs w:val="24"/>
          <w:highlight w:val="none"/>
        </w:rPr>
      </w:pPr>
      <w:r>
        <w:rPr>
          <w:sz w:val="24"/>
          <w:szCs w:val="24"/>
          <w:highlight w:val="none"/>
        </w:rPr>
        <w:t>рассредоточение во время работы строительных машин и механизмов, не задействованных в едином непрерывном технологическом процессе;</w:t>
      </w:r>
    </w:p>
    <w:p>
      <w:pPr>
        <w:pStyle w:val="22"/>
        <w:numPr>
          <w:ilvl w:val="0"/>
          <w:numId w:val="22"/>
        </w:numPr>
        <w:shd w:val="clear"/>
        <w:autoSpaceDE w:val="0"/>
        <w:autoSpaceDN w:val="0"/>
        <w:adjustRightInd w:val="0"/>
        <w:spacing w:line="276" w:lineRule="auto"/>
        <w:ind w:right="-1"/>
        <w:rPr>
          <w:sz w:val="24"/>
          <w:szCs w:val="24"/>
          <w:highlight w:val="none"/>
        </w:rPr>
      </w:pPr>
      <w:r>
        <w:rPr>
          <w:sz w:val="24"/>
          <w:szCs w:val="24"/>
          <w:highlight w:val="none"/>
        </w:rPr>
        <w:t>укрытие пылящих материалов тентами при транспортировке, обеспыливание при укладке сыпучих материалов (ПГС, щебень);</w:t>
      </w:r>
    </w:p>
    <w:p>
      <w:pPr>
        <w:pStyle w:val="22"/>
        <w:numPr>
          <w:ilvl w:val="0"/>
          <w:numId w:val="22"/>
        </w:numPr>
        <w:shd w:val="clear"/>
        <w:autoSpaceDE w:val="0"/>
        <w:autoSpaceDN w:val="0"/>
        <w:adjustRightInd w:val="0"/>
        <w:spacing w:line="276" w:lineRule="auto"/>
        <w:ind w:right="-1"/>
        <w:rPr>
          <w:sz w:val="24"/>
          <w:szCs w:val="24"/>
          <w:highlight w:val="none"/>
        </w:rPr>
      </w:pPr>
      <w:r>
        <w:rPr>
          <w:sz w:val="24"/>
          <w:szCs w:val="24"/>
          <w:highlight w:val="none"/>
        </w:rPr>
        <w:t>неукоснительное соблюдение правил эксплуатации и техники безопасности, а также правил пожарной безопасности для предотвращения возгорания мусора и выделения загрязняющих веществ;</w:t>
      </w:r>
    </w:p>
    <w:p>
      <w:pPr>
        <w:pStyle w:val="22"/>
        <w:numPr>
          <w:ilvl w:val="0"/>
          <w:numId w:val="22"/>
        </w:numPr>
        <w:shd w:val="clear"/>
        <w:autoSpaceDE w:val="0"/>
        <w:autoSpaceDN w:val="0"/>
        <w:adjustRightInd w:val="0"/>
        <w:spacing w:line="276" w:lineRule="auto"/>
        <w:ind w:right="-1"/>
        <w:rPr>
          <w:sz w:val="24"/>
          <w:szCs w:val="24"/>
          <w:highlight w:val="none"/>
        </w:rPr>
      </w:pPr>
      <w:r>
        <w:rPr>
          <w:sz w:val="24"/>
          <w:szCs w:val="24"/>
          <w:highlight w:val="none"/>
        </w:rPr>
        <w:t>организация системы мониторинга за состоянием атмосферного воздуха, установка стационарного или передвижного поста наблюдения;</w:t>
      </w:r>
    </w:p>
    <w:p>
      <w:pPr>
        <w:pStyle w:val="30"/>
        <w:shd w:val="clear"/>
        <w:spacing w:line="276" w:lineRule="auto"/>
        <w:rPr>
          <w:szCs w:val="24"/>
          <w:highlight w:val="none"/>
        </w:rPr>
      </w:pPr>
      <w:r>
        <w:rPr>
          <w:szCs w:val="24"/>
          <w:highlight w:val="none"/>
        </w:rPr>
        <w:t>После ввода объектов:</w:t>
      </w:r>
    </w:p>
    <w:p>
      <w:pPr>
        <w:pStyle w:val="22"/>
        <w:numPr>
          <w:ilvl w:val="0"/>
          <w:numId w:val="22"/>
        </w:numPr>
        <w:shd w:val="clear"/>
        <w:autoSpaceDE w:val="0"/>
        <w:autoSpaceDN w:val="0"/>
        <w:adjustRightInd w:val="0"/>
        <w:spacing w:line="276" w:lineRule="auto"/>
        <w:ind w:right="-1"/>
        <w:rPr>
          <w:sz w:val="24"/>
          <w:szCs w:val="24"/>
          <w:highlight w:val="none"/>
        </w:rPr>
      </w:pPr>
      <w:r>
        <w:rPr>
          <w:sz w:val="24"/>
          <w:szCs w:val="24"/>
          <w:highlight w:val="none"/>
        </w:rPr>
        <w:t>расширения площадей декоративных насаждений, состоящих из достаточно газоустойчивых растений. Создание зеленых защитных полос вдоль автомобильных дорог и озеленение улиц.</w:t>
      </w:r>
    </w:p>
    <w:p>
      <w:pPr>
        <w:pStyle w:val="22"/>
        <w:shd w:val="clear"/>
        <w:autoSpaceDE w:val="0"/>
        <w:autoSpaceDN w:val="0"/>
        <w:adjustRightInd w:val="0"/>
        <w:ind w:left="1287" w:right="-1"/>
        <w:rPr>
          <w:sz w:val="24"/>
          <w:szCs w:val="24"/>
          <w:highlight w:val="none"/>
        </w:rPr>
      </w:pPr>
    </w:p>
    <w:p>
      <w:pPr>
        <w:pStyle w:val="58"/>
        <w:shd w:val="clear"/>
        <w:spacing w:before="0" w:after="0" w:line="276" w:lineRule="auto"/>
        <w:ind w:left="0" w:firstLine="567"/>
        <w:rPr>
          <w:highlight w:val="none"/>
          <w:u w:val="none"/>
        </w:rPr>
      </w:pPr>
      <w:r>
        <w:rPr>
          <w:highlight w:val="none"/>
          <w:u w:val="none"/>
        </w:rPr>
        <w:t>Мероприятия по защите поверхностных и подземных вод</w:t>
      </w:r>
    </w:p>
    <w:p>
      <w:pPr>
        <w:pStyle w:val="30"/>
        <w:shd w:val="clear"/>
        <w:spacing w:line="276" w:lineRule="auto"/>
        <w:rPr>
          <w:szCs w:val="24"/>
          <w:highlight w:val="none"/>
        </w:rPr>
      </w:pPr>
      <w:r>
        <w:rPr>
          <w:szCs w:val="24"/>
          <w:highlight w:val="none"/>
        </w:rPr>
        <w:t>В целях охраны и рационального использования водных ресурсов проектом предусматривается:</w:t>
      </w:r>
    </w:p>
    <w:p>
      <w:pPr>
        <w:pStyle w:val="22"/>
        <w:numPr>
          <w:ilvl w:val="0"/>
          <w:numId w:val="22"/>
        </w:numPr>
        <w:shd w:val="clear"/>
        <w:autoSpaceDE w:val="0"/>
        <w:autoSpaceDN w:val="0"/>
        <w:adjustRightInd w:val="0"/>
        <w:spacing w:line="276" w:lineRule="auto"/>
        <w:ind w:right="-1"/>
        <w:rPr>
          <w:sz w:val="24"/>
          <w:szCs w:val="24"/>
          <w:highlight w:val="none"/>
        </w:rPr>
      </w:pPr>
      <w:r>
        <w:rPr>
          <w:sz w:val="24"/>
          <w:szCs w:val="24"/>
          <w:highlight w:val="none"/>
        </w:rPr>
        <w:t>подключение объектов по завершению их строительства к сетям хозяйственно-бытовой канализации;</w:t>
      </w:r>
    </w:p>
    <w:p>
      <w:pPr>
        <w:pStyle w:val="22"/>
        <w:numPr>
          <w:ilvl w:val="0"/>
          <w:numId w:val="22"/>
        </w:numPr>
        <w:shd w:val="clear"/>
        <w:autoSpaceDE w:val="0"/>
        <w:autoSpaceDN w:val="0"/>
        <w:adjustRightInd w:val="0"/>
        <w:spacing w:line="276" w:lineRule="auto"/>
        <w:ind w:right="-1"/>
        <w:rPr>
          <w:sz w:val="24"/>
          <w:szCs w:val="24"/>
          <w:highlight w:val="none"/>
        </w:rPr>
      </w:pPr>
      <w:r>
        <w:rPr>
          <w:sz w:val="24"/>
          <w:szCs w:val="24"/>
          <w:highlight w:val="none"/>
        </w:rPr>
        <w:t>строительство ливневой канализации с очистными сооружениями;</w:t>
      </w:r>
    </w:p>
    <w:p>
      <w:pPr>
        <w:pStyle w:val="22"/>
        <w:numPr>
          <w:ilvl w:val="0"/>
          <w:numId w:val="22"/>
        </w:numPr>
        <w:shd w:val="clear"/>
        <w:autoSpaceDE w:val="0"/>
        <w:autoSpaceDN w:val="0"/>
        <w:adjustRightInd w:val="0"/>
        <w:spacing w:line="276" w:lineRule="auto"/>
        <w:ind w:right="-1"/>
        <w:rPr>
          <w:sz w:val="24"/>
          <w:szCs w:val="24"/>
          <w:highlight w:val="none"/>
        </w:rPr>
      </w:pPr>
      <w:r>
        <w:rPr>
          <w:sz w:val="24"/>
          <w:szCs w:val="24"/>
          <w:highlight w:val="none"/>
        </w:rPr>
        <w:t>недопущение сброса сточных вод на рельеф;</w:t>
      </w:r>
    </w:p>
    <w:p>
      <w:pPr>
        <w:pStyle w:val="22"/>
        <w:numPr>
          <w:ilvl w:val="0"/>
          <w:numId w:val="22"/>
        </w:numPr>
        <w:shd w:val="clear"/>
        <w:autoSpaceDE w:val="0"/>
        <w:autoSpaceDN w:val="0"/>
        <w:adjustRightInd w:val="0"/>
        <w:spacing w:line="276" w:lineRule="auto"/>
        <w:ind w:right="-1"/>
        <w:rPr>
          <w:sz w:val="24"/>
          <w:szCs w:val="24"/>
          <w:highlight w:val="none"/>
        </w:rPr>
      </w:pPr>
      <w:r>
        <w:rPr>
          <w:sz w:val="24"/>
          <w:szCs w:val="24"/>
          <w:highlight w:val="none"/>
        </w:rPr>
        <w:t>организация водоохранных зон, прибрежных защитных и береговых полос.</w:t>
      </w:r>
    </w:p>
    <w:p>
      <w:pPr>
        <w:pStyle w:val="22"/>
        <w:numPr>
          <w:ilvl w:val="0"/>
          <w:numId w:val="22"/>
        </w:numPr>
        <w:shd w:val="clear"/>
        <w:autoSpaceDE w:val="0"/>
        <w:autoSpaceDN w:val="0"/>
        <w:adjustRightInd w:val="0"/>
        <w:spacing w:line="276" w:lineRule="auto"/>
        <w:ind w:right="-1"/>
        <w:rPr>
          <w:sz w:val="24"/>
          <w:szCs w:val="24"/>
          <w:highlight w:val="none"/>
        </w:rPr>
      </w:pPr>
      <w:r>
        <w:rPr>
          <w:sz w:val="24"/>
          <w:szCs w:val="24"/>
          <w:highlight w:val="none"/>
        </w:rPr>
        <w:t>дальнейший контроль качества состояния сетей водоотведения и ливневой канализации.</w:t>
      </w:r>
    </w:p>
    <w:p>
      <w:pPr>
        <w:pStyle w:val="30"/>
        <w:shd w:val="clear"/>
        <w:spacing w:line="276" w:lineRule="auto"/>
        <w:rPr>
          <w:szCs w:val="24"/>
          <w:highlight w:val="none"/>
        </w:rPr>
      </w:pPr>
      <w:r>
        <w:rPr>
          <w:szCs w:val="24"/>
          <w:highlight w:val="none"/>
        </w:rPr>
        <w:t>Основное воздействие при нарушении целостности систем канализационных и ливневых коллекторов или их отсутствия могут испытывать ближайшие водные объекты – река Имчин.</w:t>
      </w:r>
    </w:p>
    <w:p>
      <w:pPr>
        <w:pStyle w:val="30"/>
        <w:shd w:val="clear"/>
        <w:spacing w:line="276" w:lineRule="auto"/>
        <w:rPr>
          <w:szCs w:val="24"/>
          <w:highlight w:val="none"/>
        </w:rPr>
      </w:pPr>
      <w:r>
        <w:rPr>
          <w:szCs w:val="24"/>
          <w:highlight w:val="none"/>
        </w:rPr>
        <w:t>Ливневые воды с территории проекта планировки, после строительства объектов, должны проходить очистку на локальных очистных сооружениях. Ливнестоки без предварительной очистки могут привести к негативному воздействию на водные объекты (куда в дальнейшем поступают ливневые воды).</w:t>
      </w:r>
    </w:p>
    <w:p>
      <w:pPr>
        <w:pStyle w:val="30"/>
        <w:shd w:val="clear"/>
        <w:spacing w:line="276" w:lineRule="auto"/>
        <w:rPr>
          <w:szCs w:val="24"/>
          <w:highlight w:val="none"/>
        </w:rPr>
      </w:pPr>
      <w:r>
        <w:rPr>
          <w:szCs w:val="24"/>
          <w:highlight w:val="none"/>
        </w:rPr>
        <w:t>Следует обратить особое внимание на загрязнение почво-грунтов, все осевшие на почву вредные вещества с течением времени попадают в грунтовые воды, а затем в поверхностные водные объекты. Поэтому необходим контроль за качеством сетей и в случае возникновения аварий немедленно их ликвидировать.</w:t>
      </w:r>
    </w:p>
    <w:p>
      <w:pPr>
        <w:shd w:val="clear"/>
        <w:ind w:firstLine="567"/>
        <w:rPr>
          <w:sz w:val="24"/>
          <w:szCs w:val="24"/>
          <w:highlight w:val="none"/>
        </w:rPr>
      </w:pPr>
    </w:p>
    <w:p>
      <w:pPr>
        <w:pStyle w:val="58"/>
        <w:shd w:val="clear"/>
        <w:spacing w:before="0" w:after="0" w:line="276" w:lineRule="auto"/>
        <w:ind w:left="0" w:firstLine="567"/>
        <w:rPr>
          <w:highlight w:val="none"/>
          <w:u w:val="none"/>
        </w:rPr>
      </w:pPr>
      <w:r>
        <w:rPr>
          <w:highlight w:val="none"/>
          <w:u w:val="none"/>
        </w:rPr>
        <w:t>Мероприятия по санитарной очистке территории</w:t>
      </w:r>
    </w:p>
    <w:p>
      <w:pPr>
        <w:pStyle w:val="30"/>
        <w:shd w:val="clear"/>
        <w:spacing w:line="276" w:lineRule="auto"/>
        <w:rPr>
          <w:szCs w:val="24"/>
          <w:highlight w:val="none"/>
        </w:rPr>
      </w:pPr>
      <w:r>
        <w:rPr>
          <w:szCs w:val="24"/>
          <w:highlight w:val="none"/>
        </w:rPr>
        <w:t>Очистка территорий – одно из важнейших мероприятий, обеспечивающих экологическое и санитарно-эпидемиологическое благополучие населения и охрану окружающей среды.</w:t>
      </w:r>
    </w:p>
    <w:p>
      <w:pPr>
        <w:pStyle w:val="30"/>
        <w:shd w:val="clear"/>
        <w:spacing w:line="276" w:lineRule="auto"/>
        <w:rPr>
          <w:szCs w:val="24"/>
          <w:highlight w:val="none"/>
        </w:rPr>
      </w:pPr>
      <w:r>
        <w:rPr>
          <w:szCs w:val="24"/>
          <w:highlight w:val="none"/>
        </w:rPr>
        <w:t>Мероприятия по санитарной очистке должны обеспечивать организацию рациональной системы сбора, хранения, регулярного вывоза отходов и уборки территорий.</w:t>
      </w:r>
    </w:p>
    <w:p>
      <w:pPr>
        <w:pStyle w:val="30"/>
        <w:shd w:val="clear"/>
        <w:spacing w:line="276" w:lineRule="auto"/>
        <w:rPr>
          <w:szCs w:val="24"/>
          <w:highlight w:val="none"/>
        </w:rPr>
      </w:pPr>
      <w:r>
        <w:rPr>
          <w:szCs w:val="24"/>
          <w:highlight w:val="none"/>
        </w:rPr>
        <w:t>Проектом рекомендована планово-регулярная система санитарной очистки, предусматривающая отдельный сбор, удаление и обезвреживание отходов.</w:t>
      </w:r>
    </w:p>
    <w:p>
      <w:pPr>
        <w:pStyle w:val="30"/>
        <w:shd w:val="clear"/>
        <w:spacing w:line="276" w:lineRule="auto"/>
        <w:rPr>
          <w:szCs w:val="24"/>
          <w:highlight w:val="none"/>
        </w:rPr>
      </w:pPr>
      <w:r>
        <w:rPr>
          <w:szCs w:val="24"/>
          <w:highlight w:val="none"/>
        </w:rPr>
        <w:t>Проектом предлагается:</w:t>
      </w:r>
    </w:p>
    <w:p>
      <w:pPr>
        <w:pStyle w:val="22"/>
        <w:numPr>
          <w:ilvl w:val="0"/>
          <w:numId w:val="22"/>
        </w:numPr>
        <w:shd w:val="clear"/>
        <w:autoSpaceDE w:val="0"/>
        <w:autoSpaceDN w:val="0"/>
        <w:adjustRightInd w:val="0"/>
        <w:spacing w:line="276" w:lineRule="auto"/>
        <w:ind w:right="-1"/>
        <w:rPr>
          <w:sz w:val="24"/>
          <w:szCs w:val="24"/>
          <w:highlight w:val="none"/>
        </w:rPr>
      </w:pPr>
      <w:r>
        <w:rPr>
          <w:sz w:val="24"/>
          <w:szCs w:val="24"/>
          <w:highlight w:val="none"/>
        </w:rPr>
        <w:t>включение территории проекта планировки в систему сбора и вывоза отходов;</w:t>
      </w:r>
    </w:p>
    <w:p>
      <w:pPr>
        <w:pStyle w:val="22"/>
        <w:numPr>
          <w:ilvl w:val="0"/>
          <w:numId w:val="22"/>
        </w:numPr>
        <w:shd w:val="clear"/>
        <w:autoSpaceDE w:val="0"/>
        <w:autoSpaceDN w:val="0"/>
        <w:adjustRightInd w:val="0"/>
        <w:spacing w:line="276" w:lineRule="auto"/>
        <w:ind w:right="-1"/>
        <w:rPr>
          <w:sz w:val="24"/>
          <w:szCs w:val="24"/>
          <w:highlight w:val="none"/>
        </w:rPr>
      </w:pPr>
      <w:r>
        <w:rPr>
          <w:sz w:val="24"/>
          <w:szCs w:val="24"/>
          <w:highlight w:val="none"/>
        </w:rPr>
        <w:t>недопущение образования несанкционированных свалок на территории;</w:t>
      </w:r>
    </w:p>
    <w:p>
      <w:pPr>
        <w:pStyle w:val="22"/>
        <w:numPr>
          <w:ilvl w:val="0"/>
          <w:numId w:val="22"/>
        </w:numPr>
        <w:shd w:val="clear"/>
        <w:autoSpaceDE w:val="0"/>
        <w:autoSpaceDN w:val="0"/>
        <w:adjustRightInd w:val="0"/>
        <w:spacing w:line="276" w:lineRule="auto"/>
        <w:ind w:right="-1"/>
        <w:rPr>
          <w:sz w:val="24"/>
          <w:szCs w:val="24"/>
          <w:highlight w:val="none"/>
        </w:rPr>
      </w:pPr>
      <w:r>
        <w:rPr>
          <w:sz w:val="24"/>
          <w:szCs w:val="24"/>
          <w:highlight w:val="none"/>
        </w:rPr>
        <w:t>установка контейнерных площадок в соответствии с нормативными требованиями;</w:t>
      </w:r>
    </w:p>
    <w:p>
      <w:pPr>
        <w:pStyle w:val="22"/>
        <w:numPr>
          <w:ilvl w:val="0"/>
          <w:numId w:val="22"/>
        </w:numPr>
        <w:shd w:val="clear"/>
        <w:autoSpaceDE w:val="0"/>
        <w:autoSpaceDN w:val="0"/>
        <w:adjustRightInd w:val="0"/>
        <w:spacing w:line="276" w:lineRule="auto"/>
        <w:ind w:right="-1"/>
        <w:rPr>
          <w:sz w:val="24"/>
          <w:szCs w:val="24"/>
          <w:highlight w:val="none"/>
        </w:rPr>
      </w:pPr>
      <w:r>
        <w:rPr>
          <w:sz w:val="24"/>
          <w:szCs w:val="24"/>
          <w:highlight w:val="none"/>
        </w:rPr>
        <w:t>организация планово-регулярной механизированной уборки усовершенствованных покрытий в летнее и зимнее время. Летняя уборка предусматривает подметание, мойку и полив покрытий, уборку зеленых зон, очистку прибрежной зеленой полосы с последующим вывозом отходов и смета на полигон;</w:t>
      </w:r>
    </w:p>
    <w:p>
      <w:pPr>
        <w:pStyle w:val="22"/>
        <w:numPr>
          <w:ilvl w:val="0"/>
          <w:numId w:val="22"/>
        </w:numPr>
        <w:shd w:val="clear"/>
        <w:autoSpaceDE w:val="0"/>
        <w:autoSpaceDN w:val="0"/>
        <w:adjustRightInd w:val="0"/>
        <w:spacing w:line="276" w:lineRule="auto"/>
        <w:ind w:right="-1"/>
        <w:rPr>
          <w:sz w:val="24"/>
          <w:szCs w:val="24"/>
          <w:highlight w:val="none"/>
        </w:rPr>
      </w:pPr>
      <w:r>
        <w:rPr>
          <w:sz w:val="24"/>
          <w:szCs w:val="24"/>
          <w:highlight w:val="none"/>
        </w:rPr>
        <w:t>внедрение системы раздельного накопления и сбора ТКО;</w:t>
      </w:r>
    </w:p>
    <w:p>
      <w:pPr>
        <w:pStyle w:val="22"/>
        <w:numPr>
          <w:ilvl w:val="0"/>
          <w:numId w:val="22"/>
        </w:numPr>
        <w:shd w:val="clear"/>
        <w:autoSpaceDE w:val="0"/>
        <w:autoSpaceDN w:val="0"/>
        <w:adjustRightInd w:val="0"/>
        <w:spacing w:line="276" w:lineRule="auto"/>
        <w:ind w:right="-1"/>
        <w:rPr>
          <w:sz w:val="24"/>
          <w:szCs w:val="24"/>
          <w:highlight w:val="none"/>
        </w:rPr>
      </w:pPr>
      <w:r>
        <w:rPr>
          <w:rFonts w:eastAsia="PTSans-Regular"/>
          <w:sz w:val="24"/>
          <w:szCs w:val="24"/>
          <w:highlight w:val="none"/>
          <w:lang w:eastAsia="ru-RU"/>
        </w:rPr>
        <w:t>замена старых контейнеров на современные евроконтейнеры;</w:t>
      </w:r>
    </w:p>
    <w:p>
      <w:pPr>
        <w:numPr>
          <w:ilvl w:val="0"/>
          <w:numId w:val="23"/>
        </w:numPr>
        <w:shd w:val="clear"/>
        <w:tabs>
          <w:tab w:val="left" w:pos="0"/>
        </w:tabs>
        <w:snapToGrid w:val="0"/>
        <w:ind w:left="993"/>
        <w:rPr>
          <w:rStyle w:val="61"/>
          <w:sz w:val="24"/>
          <w:szCs w:val="24"/>
          <w:highlight w:val="none"/>
        </w:rPr>
      </w:pPr>
      <w:r>
        <w:rPr>
          <w:rFonts w:eastAsia="PTSans-Regular"/>
          <w:sz w:val="24"/>
          <w:szCs w:val="24"/>
          <w:highlight w:val="none"/>
          <w:lang w:eastAsia="ru-RU"/>
        </w:rPr>
        <w:t xml:space="preserve">организация новых контейнерных площадок соответствующих нормативам. </w:t>
      </w:r>
      <w:r>
        <w:rPr>
          <w:rStyle w:val="61"/>
          <w:sz w:val="24"/>
          <w:szCs w:val="24"/>
          <w:highlight w:val="none"/>
        </w:rPr>
        <w:t>Контейнерные площадки должны иметь твердое покрытие, освещены, иметь условия для стока поверхностных вод. Контейнерные площадки устанавливаются на расстоянии не ближе 20 метров от жилых домов и не далее, чем 100 м.</w:t>
      </w:r>
    </w:p>
    <w:p>
      <w:pPr>
        <w:shd w:val="clear"/>
        <w:spacing w:before="100" w:beforeAutospacing="1" w:after="100" w:afterAutospacing="1" w:line="276" w:lineRule="auto"/>
        <w:rPr>
          <w:sz w:val="24"/>
          <w:szCs w:val="24"/>
          <w:highlight w:val="none"/>
          <w:lang w:eastAsia="ru-RU"/>
        </w:rPr>
      </w:pPr>
      <w:r>
        <w:rPr>
          <w:sz w:val="24"/>
          <w:szCs w:val="24"/>
          <w:highlight w:val="none"/>
          <w:lang w:bidi="ru-RU"/>
        </w:rPr>
        <w:t>Согласно Территориальной схеме обращения с отходами на период с 2024 г. отходы, образующиеся на территории городского округа, предусмотрено направлять сначала на мусороперегрузочную станцию пгт Ноглики (к</w:t>
      </w:r>
      <w:r>
        <w:rPr>
          <w:sz w:val="24"/>
          <w:szCs w:val="24"/>
          <w:highlight w:val="none"/>
          <w:lang w:eastAsia="ru-RU"/>
        </w:rPr>
        <w:t xml:space="preserve">оординаты: 51.7756600, 143.1695830), а затем на межмуниципальный мусоросортировочный комплекс в </w:t>
      </w:r>
      <w:r>
        <w:rPr>
          <w:rStyle w:val="60"/>
          <w:sz w:val="24"/>
          <w:szCs w:val="24"/>
          <w:highlight w:val="none"/>
        </w:rPr>
        <w:t>Тымовский городской округ (</w:t>
      </w:r>
      <w:r>
        <w:rPr>
          <w:sz w:val="24"/>
          <w:szCs w:val="24"/>
          <w:highlight w:val="none"/>
          <w:lang w:eastAsia="ru-RU"/>
        </w:rPr>
        <w:t>координаты:50.8981000, 142.6986000</w:t>
      </w:r>
      <w:r>
        <w:rPr>
          <w:rStyle w:val="60"/>
          <w:sz w:val="24"/>
          <w:szCs w:val="24"/>
          <w:highlight w:val="none"/>
        </w:rPr>
        <w:t>).</w:t>
      </w:r>
    </w:p>
    <w:p>
      <w:pPr>
        <w:pStyle w:val="2"/>
        <w:shd w:val="clear"/>
        <w:spacing w:line="276" w:lineRule="auto"/>
        <w:ind w:firstLine="0"/>
        <w:rPr>
          <w:rFonts w:ascii="Times New Roman" w:hAnsi="Times New Roman" w:cs="Times New Roman"/>
          <w:b/>
          <w:bCs/>
          <w:color w:val="auto"/>
          <w:sz w:val="24"/>
          <w:szCs w:val="24"/>
          <w:highlight w:val="none"/>
        </w:rPr>
      </w:pPr>
      <w:bookmarkStart w:id="39" w:name="_Toc141885080"/>
      <w:r>
        <w:rPr>
          <w:rFonts w:ascii="Times New Roman" w:hAnsi="Times New Roman" w:cs="Times New Roman"/>
          <w:b/>
          <w:bCs/>
          <w:color w:val="auto"/>
          <w:sz w:val="24"/>
          <w:szCs w:val="24"/>
          <w:highlight w:val="none"/>
        </w:rPr>
        <w:t>7. Обоснование очередности планируемого развития территории</w:t>
      </w:r>
      <w:bookmarkEnd w:id="39"/>
    </w:p>
    <w:p>
      <w:pPr>
        <w:shd w:val="clear"/>
        <w:spacing w:line="276" w:lineRule="auto"/>
        <w:rPr>
          <w:highlight w:val="none"/>
        </w:rPr>
      </w:pPr>
    </w:p>
    <w:p>
      <w:pPr>
        <w:shd w:val="clear"/>
        <w:spacing w:line="276" w:lineRule="auto"/>
        <w:rPr>
          <w:sz w:val="24"/>
          <w:szCs w:val="24"/>
          <w:highlight w:val="none"/>
        </w:rPr>
      </w:pPr>
      <w:r>
        <w:rPr>
          <w:sz w:val="24"/>
          <w:szCs w:val="24"/>
          <w:highlight w:val="none"/>
        </w:rPr>
        <w:t>Освоение территории, строительство индивидуальных жилых домов, строительство объектов общественной, коммунальной, транспортной инфраструктур, планируемых к реализации на проектируемой территории рассматриваемых элементов планировочной структуры, осуществляется в один этап.</w:t>
      </w:r>
    </w:p>
    <w:p>
      <w:pPr>
        <w:shd w:val="clear"/>
        <w:spacing w:line="276" w:lineRule="auto"/>
        <w:rPr>
          <w:sz w:val="24"/>
          <w:szCs w:val="24"/>
          <w:highlight w:val="none"/>
        </w:rPr>
      </w:pPr>
      <w:r>
        <w:rPr>
          <w:sz w:val="24"/>
          <w:szCs w:val="24"/>
          <w:highlight w:val="none"/>
        </w:rPr>
        <w:t>Проектирование и строительство необходимых для функционирования и обеспечения жизнедеятельности граждан объектов благоустройства осуществляется параллельно.</w:t>
      </w:r>
    </w:p>
    <w:sectPr>
      <w:pgSz w:w="11906" w:h="16838"/>
      <w:pgMar w:top="1134" w:right="850" w:bottom="1134" w:left="1701" w:header="708" w:footer="708" w:gutter="0"/>
      <w:cols w:space="708"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CC"/>
    <w:family w:val="swiss"/>
    <w:pitch w:val="default"/>
    <w:sig w:usb0="E4002EFF" w:usb1="C000247B" w:usb2="00000009" w:usb3="00000000" w:csb0="200001FF" w:csb1="00000000"/>
  </w:font>
  <w:font w:name="等线 Light">
    <w:altName w:val="AMGDT"/>
    <w:panose1 w:val="00000000000000000000"/>
    <w:charset w:val="00"/>
    <w:family w:val="auto"/>
    <w:pitch w:val="default"/>
    <w:sig w:usb0="00000000" w:usb1="00000000" w:usb2="00000000" w:usb3="00000000" w:csb0="00000000" w:csb1="00000000"/>
  </w:font>
  <w:font w:name="Times New Roman Полужирный">
    <w:altName w:val="Times New Roman"/>
    <w:panose1 w:val="00000000000000000000"/>
    <w:charset w:val="00"/>
    <w:family w:val="roman"/>
    <w:pitch w:val="default"/>
    <w:sig w:usb0="00000000" w:usb1="00000000" w:usb2="00000000" w:usb3="00000000" w:csb0="00000000" w:csb1="00000000"/>
  </w:font>
  <w:font w:name="Roboto Condensed">
    <w:altName w:val="Times New Roman"/>
    <w:panose1 w:val="00000000000000000000"/>
    <w:charset w:val="00"/>
    <w:family w:val="auto"/>
    <w:pitch w:val="default"/>
    <w:sig w:usb0="00000000" w:usb1="00000000" w:usb2="00000020" w:usb3="00000000" w:csb0="0000019F" w:csb1="00000000"/>
  </w:font>
  <w:font w:name="等线">
    <w:altName w:val="Arial Unicode MS"/>
    <w:panose1 w:val="00000000000000000000"/>
    <w:charset w:val="00"/>
    <w:family w:val="auto"/>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Arial Unicode MS">
    <w:panose1 w:val="020B0604020202020204"/>
    <w:charset w:val="86"/>
    <w:family w:val="auto"/>
    <w:pitch w:val="default"/>
    <w:sig w:usb0="F7FFAEFF" w:usb1="F9DFFFFF" w:usb2="0000007F" w:usb3="00000000" w:csb0="203F01FF" w:csb1="DFFF0000"/>
  </w:font>
  <w:font w:name="Cambria">
    <w:panose1 w:val="02040503050406030204"/>
    <w:charset w:val="CC"/>
    <w:family w:val="roman"/>
    <w:pitch w:val="default"/>
    <w:sig w:usb0="E00006FF" w:usb1="420024FF" w:usb2="02000000" w:usb3="00000000" w:csb0="2000019F" w:csb1="00000000"/>
  </w:font>
  <w:font w:name="Txt">
    <w:panose1 w:val="00000400000000000000"/>
    <w:charset w:val="CC"/>
    <w:family w:val="auto"/>
    <w:pitch w:val="default"/>
    <w:sig w:usb0="80000227" w:usb1="00000000" w:usb2="00000000" w:usb3="00000000" w:csb0="000001FF" w:csb1="00000000"/>
  </w:font>
  <w:font w:name="PTSans-Regular">
    <w:altName w:val="Yu Gothic"/>
    <w:panose1 w:val="00000000000000000000"/>
    <w:charset w:val="80"/>
    <w:family w:val="auto"/>
    <w:pitch w:val="default"/>
    <w:sig w:usb0="00000000" w:usb1="00000000" w:usb2="00000010" w:usb3="00000000" w:csb0="00020000" w:csb1="0000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auto" w:sz="0" w:space="0"/>
        <w:left w:val="none" w:color="auto" w:sz="0" w:space="0"/>
        <w:bottom w:val="none" w:color="auto" w:sz="0" w:space="0"/>
        <w:right w:val="none" w:color="auto" w:sz="0" w:space="0"/>
        <w:between w:val="none" w:color="auto" w:sz="0" w:space="0"/>
      </w:pBdr>
      <w:tabs>
        <w:tab w:val="center" w:pos="4677"/>
        <w:tab w:val="right" w:pos="9355"/>
      </w:tabs>
      <w:ind w:firstLine="0"/>
      <w:jc w:val="center"/>
      <w:rPr>
        <w:color w:val="000000"/>
        <w:sz w:val="20"/>
        <w:szCs w:val="20"/>
      </w:rPr>
    </w:pPr>
    <w:r>
      <w:rPr>
        <w:color w:val="000000"/>
        <w:sz w:val="20"/>
        <w:szCs w:val="20"/>
      </w:rPr>
      <w:fldChar w:fldCharType="begin"/>
    </w:r>
    <w:r>
      <w:rPr>
        <w:color w:val="000000"/>
        <w:sz w:val="20"/>
        <w:szCs w:val="20"/>
      </w:rPr>
      <w:instrText xml:space="preserve">PAGE</w:instrText>
    </w:r>
    <w:r>
      <w:rPr>
        <w:color w:val="000000"/>
        <w:sz w:val="20"/>
        <w:szCs w:val="20"/>
      </w:rPr>
      <w:fldChar w:fldCharType="separate"/>
    </w:r>
    <w:r>
      <w:rPr>
        <w:color w:val="000000"/>
        <w:sz w:val="20"/>
        <w:szCs w:val="20"/>
      </w:rPr>
      <w:t>13</w:t>
    </w:r>
    <w:r>
      <w:rPr>
        <w:color w:val="000000"/>
        <w:sz w:val="20"/>
        <w:szCs w:val="20"/>
      </w:rPr>
      <w:fldChar w:fldCharType="end"/>
    </w:r>
  </w:p>
  <w:p>
    <w:pPr>
      <w:widowControl w:val="0"/>
      <w:pBdr>
        <w:top w:val="none" w:color="auto" w:sz="0" w:space="0"/>
        <w:left w:val="none" w:color="auto" w:sz="0" w:space="0"/>
        <w:bottom w:val="none" w:color="auto" w:sz="0" w:space="0"/>
        <w:right w:val="none" w:color="auto" w:sz="0" w:space="0"/>
        <w:between w:val="none" w:color="auto" w:sz="0" w:space="0"/>
      </w:pBdr>
      <w:spacing w:line="276" w:lineRule="auto"/>
      <w:ind w:firstLine="0"/>
      <w:jc w:val="left"/>
      <w:rPr>
        <w:color w:val="00000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D34B14"/>
    <w:multiLevelType w:val="multilevel"/>
    <w:tmpl w:val="04D34B14"/>
    <w:lvl w:ilvl="0" w:tentative="0">
      <w:start w:val="1"/>
      <w:numFmt w:val="bullet"/>
      <w:lvlText w:val="–"/>
      <w:lvlJc w:val="left"/>
      <w:pPr>
        <w:ind w:left="1429" w:hanging="360"/>
      </w:pPr>
      <w:rPr>
        <w:rFonts w:hint="default" w:ascii="Cambria" w:hAnsi="Cambria"/>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1">
    <w:nsid w:val="06286E95"/>
    <w:multiLevelType w:val="multilevel"/>
    <w:tmpl w:val="06286E9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E13177C"/>
    <w:multiLevelType w:val="multilevel"/>
    <w:tmpl w:val="0E13177C"/>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3">
    <w:nsid w:val="0F876AF2"/>
    <w:multiLevelType w:val="multilevel"/>
    <w:tmpl w:val="0F876AF2"/>
    <w:lvl w:ilvl="0" w:tentative="0">
      <w:start w:val="1"/>
      <w:numFmt w:val="decimal"/>
      <w:pStyle w:val="35"/>
      <w:lvlText w:val="%1."/>
      <w:lvlJc w:val="left"/>
      <w:pPr>
        <w:ind w:left="9720" w:hanging="363"/>
      </w:pPr>
      <w:rPr>
        <w:rFonts w:hint="default" w:ascii="Times New Roman" w:hAnsi="Times New Roman" w:cs="Times New Roman"/>
      </w:rPr>
    </w:lvl>
    <w:lvl w:ilvl="1" w:tentative="0">
      <w:start w:val="1"/>
      <w:numFmt w:val="decimal"/>
      <w:pStyle w:val="37"/>
      <w:isLgl/>
      <w:lvlText w:val="%1.%2."/>
      <w:lvlJc w:val="left"/>
      <w:pPr>
        <w:ind w:left="931" w:hanging="363"/>
      </w:pPr>
      <w:rPr>
        <w:rFonts w:hint="default" w:ascii="Times New Roman" w:hAnsi="Times New Roman" w:cs="Times New Roman"/>
        <w:b/>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2" w:tentative="0">
      <w:start w:val="1"/>
      <w:numFmt w:val="decimal"/>
      <w:pStyle w:val="38"/>
      <w:isLgl/>
      <w:lvlText w:val="%1.%2.%3."/>
      <w:lvlJc w:val="left"/>
      <w:pPr>
        <w:ind w:left="3341" w:hanging="363"/>
      </w:pPr>
      <w:rPr>
        <w:rFonts w:hint="default"/>
        <w:b/>
        <w:sz w:val="24"/>
        <w:szCs w:val="24"/>
      </w:rPr>
    </w:lvl>
    <w:lvl w:ilvl="3" w:tentative="0">
      <w:start w:val="1"/>
      <w:numFmt w:val="decimal"/>
      <w:pStyle w:val="39"/>
      <w:isLgl/>
      <w:lvlText w:val="%1.%2.%3.%4."/>
      <w:lvlJc w:val="left"/>
      <w:pPr>
        <w:tabs>
          <w:tab w:val="left" w:pos="567"/>
        </w:tabs>
        <w:ind w:left="930" w:hanging="363"/>
      </w:pPr>
      <w:rPr>
        <w:rFonts w:hint="default"/>
      </w:rPr>
    </w:lvl>
    <w:lvl w:ilvl="4" w:tentative="0">
      <w:start w:val="1"/>
      <w:numFmt w:val="decimal"/>
      <w:lvlRestart w:val="1"/>
      <w:pStyle w:val="41"/>
      <w:isLgl/>
      <w:lvlText w:val="Рисунок %1-%5."/>
      <w:lvlJc w:val="left"/>
      <w:pPr>
        <w:ind w:left="930" w:hanging="363"/>
      </w:pPr>
      <w:rPr>
        <w:rFonts w:hint="default"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5" w:tentative="0">
      <w:start w:val="1"/>
      <w:numFmt w:val="decimal"/>
      <w:isLgl/>
      <w:lvlText w:val="Таблица %1-%6."/>
      <w:lvlJc w:val="left"/>
      <w:pPr>
        <w:ind w:left="2206" w:hanging="363"/>
      </w:pPr>
      <w:rPr>
        <w:rFonts w:hint="default"/>
        <w:b w:val="0"/>
        <w:i w:val="0"/>
        <w:sz w:val="24"/>
        <w:szCs w:val="24"/>
      </w:rPr>
    </w:lvl>
    <w:lvl w:ilvl="6" w:tentative="0">
      <w:start w:val="1"/>
      <w:numFmt w:val="decimal"/>
      <w:pStyle w:val="40"/>
      <w:isLgl/>
      <w:lvlText w:val="Таблица %1.%2-%7."/>
      <w:lvlJc w:val="left"/>
      <w:pPr>
        <w:ind w:left="1782" w:hanging="363"/>
      </w:pPr>
      <w:rPr>
        <w:rFonts w:hint="default" w:ascii="Times New Roman" w:hAnsi="Times New Roman" w:cs="Times New Roman"/>
        <w:i w:val="0"/>
        <w:iCs w:val="0"/>
        <w:caps w:val="0"/>
        <w:smallCaps w:val="0"/>
        <w:strike w:val="0"/>
        <w:dstrike w:val="0"/>
        <w:vanish w:val="0"/>
        <w:color w:val="000000"/>
        <w:spacing w:val="0"/>
        <w:kern w:val="0"/>
        <w:position w:val="0"/>
        <w:u w:val="none"/>
        <w:vertAlign w:val="baseline"/>
      </w:rPr>
    </w:lvl>
    <w:lvl w:ilvl="7" w:tentative="0">
      <w:start w:val="1"/>
      <w:numFmt w:val="decimal"/>
      <w:isLgl/>
      <w:lvlText w:val="Таблица %1.%2.%3-%8."/>
      <w:lvlJc w:val="left"/>
      <w:pPr>
        <w:ind w:left="930" w:hanging="363"/>
      </w:pPr>
      <w:rPr>
        <w:rFonts w:hint="default"/>
      </w:rPr>
    </w:lvl>
    <w:lvl w:ilvl="8" w:tentative="0">
      <w:start w:val="1"/>
      <w:numFmt w:val="decimal"/>
      <w:pStyle w:val="42"/>
      <w:isLgl/>
      <w:lvlText w:val="Таблица %1.%2.%3.%4-%9."/>
      <w:lvlJc w:val="left"/>
      <w:pPr>
        <w:ind w:left="930" w:hanging="363"/>
      </w:pPr>
      <w:rPr>
        <w:rFonts w:hint="default"/>
      </w:rPr>
    </w:lvl>
  </w:abstractNum>
  <w:abstractNum w:abstractNumId="4">
    <w:nsid w:val="106B17A1"/>
    <w:multiLevelType w:val="multilevel"/>
    <w:tmpl w:val="106B17A1"/>
    <w:lvl w:ilvl="0" w:tentative="0">
      <w:start w:val="1"/>
      <w:numFmt w:val="bullet"/>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5">
    <w:nsid w:val="173D28C9"/>
    <w:multiLevelType w:val="multilevel"/>
    <w:tmpl w:val="173D28C9"/>
    <w:lvl w:ilvl="0" w:tentative="0">
      <w:start w:val="1"/>
      <w:numFmt w:val="bullet"/>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6">
    <w:nsid w:val="18E54D8F"/>
    <w:multiLevelType w:val="multilevel"/>
    <w:tmpl w:val="18E54D8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12139CC"/>
    <w:multiLevelType w:val="multilevel"/>
    <w:tmpl w:val="212139CC"/>
    <w:lvl w:ilvl="0" w:tentative="0">
      <w:start w:val="1"/>
      <w:numFmt w:val="bullet"/>
      <w:lvlText w:val="-"/>
      <w:lvlJc w:val="left"/>
      <w:pPr>
        <w:ind w:left="720" w:hanging="360"/>
      </w:pPr>
      <w:rPr>
        <w:rFonts w:hint="default" w:ascii="Txt" w:hAnsi="Tx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2666B35"/>
    <w:multiLevelType w:val="multilevel"/>
    <w:tmpl w:val="22666B35"/>
    <w:lvl w:ilvl="0" w:tentative="0">
      <w:start w:val="1"/>
      <w:numFmt w:val="bullet"/>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9">
    <w:nsid w:val="3778406E"/>
    <w:multiLevelType w:val="multilevel"/>
    <w:tmpl w:val="3778406E"/>
    <w:lvl w:ilvl="0" w:tentative="0">
      <w:start w:val="1"/>
      <w:numFmt w:val="decimal"/>
      <w:lvlText w:val="%1"/>
      <w:lvlJc w:val="left"/>
      <w:pPr>
        <w:ind w:left="720" w:hanging="360"/>
      </w:pPr>
      <w:rPr>
        <w:rFonts w:hint="default" w:ascii="Times New Roman" w:hAnsi="Times New Roman" w:cs="Times New Roman"/>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3A087A1C"/>
    <w:multiLevelType w:val="multilevel"/>
    <w:tmpl w:val="3A087A1C"/>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11">
    <w:nsid w:val="3ED36A07"/>
    <w:multiLevelType w:val="multilevel"/>
    <w:tmpl w:val="3ED36A07"/>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12">
    <w:nsid w:val="46224482"/>
    <w:multiLevelType w:val="multilevel"/>
    <w:tmpl w:val="46224482"/>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13">
    <w:nsid w:val="486222F9"/>
    <w:multiLevelType w:val="multilevel"/>
    <w:tmpl w:val="486222F9"/>
    <w:lvl w:ilvl="0" w:tentative="0">
      <w:start w:val="1"/>
      <w:numFmt w:val="bullet"/>
      <w:lvlText w:val=""/>
      <w:lvlJc w:val="left"/>
      <w:pPr>
        <w:ind w:left="1429" w:hanging="360"/>
      </w:pPr>
      <w:rPr>
        <w:rFonts w:hint="default" w:ascii="Symbol" w:hAnsi="Symbol"/>
        <w:b w:val="0"/>
        <w:i w:val="0"/>
        <w:color w:val="auto"/>
        <w:position w:val="0"/>
        <w:sz w:val="20"/>
        <w:szCs w:val="20"/>
        <w:vertAlign w:val="baseline"/>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14">
    <w:nsid w:val="4A0B528B"/>
    <w:multiLevelType w:val="multilevel"/>
    <w:tmpl w:val="4A0B528B"/>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15">
    <w:nsid w:val="4C702FEF"/>
    <w:multiLevelType w:val="multilevel"/>
    <w:tmpl w:val="4C702FEF"/>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4673217"/>
    <w:multiLevelType w:val="multilevel"/>
    <w:tmpl w:val="54673217"/>
    <w:lvl w:ilvl="0" w:tentative="0">
      <w:start w:val="1"/>
      <w:numFmt w:val="bullet"/>
      <w:lvlText w:val=""/>
      <w:lvlJc w:val="left"/>
      <w:pPr>
        <w:ind w:left="720" w:hanging="360"/>
      </w:pPr>
      <w:rPr>
        <w:rFonts w:hint="default" w:ascii="Symbol" w:hAnsi="Symbol"/>
        <w:position w:val="0"/>
        <w:vertAlign w:val="baseline"/>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59752E80"/>
    <w:multiLevelType w:val="multilevel"/>
    <w:tmpl w:val="59752E80"/>
    <w:lvl w:ilvl="0" w:tentative="0">
      <w:start w:val="1"/>
      <w:numFmt w:val="bullet"/>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18">
    <w:nsid w:val="67BE288E"/>
    <w:multiLevelType w:val="multilevel"/>
    <w:tmpl w:val="67BE288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B986228"/>
    <w:multiLevelType w:val="multilevel"/>
    <w:tmpl w:val="6B986228"/>
    <w:lvl w:ilvl="0" w:tentative="0">
      <w:start w:val="1"/>
      <w:numFmt w:val="bullet"/>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20">
    <w:nsid w:val="6FA15371"/>
    <w:multiLevelType w:val="multilevel"/>
    <w:tmpl w:val="6FA15371"/>
    <w:lvl w:ilvl="0" w:tentative="0">
      <w:start w:val="1"/>
      <w:numFmt w:val="bullet"/>
      <w:lvlText w:val="–"/>
      <w:lvlJc w:val="left"/>
      <w:pPr>
        <w:ind w:left="1429" w:hanging="360"/>
      </w:pPr>
      <w:rPr>
        <w:rFonts w:hint="default" w:ascii="Cambria" w:hAnsi="Cambria"/>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21">
    <w:nsid w:val="746D3BE2"/>
    <w:multiLevelType w:val="multilevel"/>
    <w:tmpl w:val="746D3BE2"/>
    <w:lvl w:ilvl="0" w:tentative="0">
      <w:start w:val="1"/>
      <w:numFmt w:val="decimal"/>
      <w:lvlText w:val="%1)"/>
      <w:lvlJc w:val="left"/>
      <w:pPr>
        <w:ind w:left="2149"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2">
    <w:nsid w:val="77303DF8"/>
    <w:multiLevelType w:val="multilevel"/>
    <w:tmpl w:val="77303DF8"/>
    <w:lvl w:ilvl="0" w:tentative="0">
      <w:start w:val="1"/>
      <w:numFmt w:val="bullet"/>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num w:numId="1">
    <w:abstractNumId w:val="3"/>
  </w:num>
  <w:num w:numId="2">
    <w:abstractNumId w:val="15"/>
  </w:num>
  <w:num w:numId="3">
    <w:abstractNumId w:val="19"/>
  </w:num>
  <w:num w:numId="4">
    <w:abstractNumId w:val="11"/>
  </w:num>
  <w:num w:numId="5">
    <w:abstractNumId w:val="9"/>
  </w:num>
  <w:num w:numId="6">
    <w:abstractNumId w:val="4"/>
  </w:num>
  <w:num w:numId="7">
    <w:abstractNumId w:val="14"/>
  </w:num>
  <w:num w:numId="8">
    <w:abstractNumId w:val="12"/>
  </w:num>
  <w:num w:numId="9">
    <w:abstractNumId w:val="22"/>
  </w:num>
  <w:num w:numId="10">
    <w:abstractNumId w:val="5"/>
  </w:num>
  <w:num w:numId="11">
    <w:abstractNumId w:val="1"/>
  </w:num>
  <w:num w:numId="12">
    <w:abstractNumId w:val="10"/>
  </w:num>
  <w:num w:numId="13">
    <w:abstractNumId w:val="0"/>
  </w:num>
  <w:num w:numId="14">
    <w:abstractNumId w:val="20"/>
  </w:num>
  <w:num w:numId="15">
    <w:abstractNumId w:val="8"/>
  </w:num>
  <w:num w:numId="16">
    <w:abstractNumId w:val="2"/>
  </w:num>
  <w:num w:numId="17">
    <w:abstractNumId w:val="6"/>
  </w:num>
  <w:num w:numId="18">
    <w:abstractNumId w:val="18"/>
  </w:num>
  <w:num w:numId="19">
    <w:abstractNumId w:val="7"/>
  </w:num>
  <w:num w:numId="20">
    <w:abstractNumId w:val="16"/>
  </w:num>
  <w:num w:numId="21">
    <w:abstractNumId w:val="13"/>
  </w:num>
  <w:num w:numId="22">
    <w:abstractNumId w:val="17"/>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708"/>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C40"/>
    <w:rsid w:val="00042FE1"/>
    <w:rsid w:val="0005023D"/>
    <w:rsid w:val="000B4D23"/>
    <w:rsid w:val="000C1837"/>
    <w:rsid w:val="000C192C"/>
    <w:rsid w:val="001462A0"/>
    <w:rsid w:val="00182795"/>
    <w:rsid w:val="001E4B9D"/>
    <w:rsid w:val="00280BEF"/>
    <w:rsid w:val="00316E41"/>
    <w:rsid w:val="00321D6C"/>
    <w:rsid w:val="003859A4"/>
    <w:rsid w:val="003C6468"/>
    <w:rsid w:val="00441CAB"/>
    <w:rsid w:val="004636FE"/>
    <w:rsid w:val="00463D83"/>
    <w:rsid w:val="00465BBB"/>
    <w:rsid w:val="00473927"/>
    <w:rsid w:val="004A3241"/>
    <w:rsid w:val="004F5539"/>
    <w:rsid w:val="005424BB"/>
    <w:rsid w:val="00567D27"/>
    <w:rsid w:val="0057782A"/>
    <w:rsid w:val="00581E34"/>
    <w:rsid w:val="00616C40"/>
    <w:rsid w:val="006250BB"/>
    <w:rsid w:val="006609B8"/>
    <w:rsid w:val="0068539D"/>
    <w:rsid w:val="00691295"/>
    <w:rsid w:val="006A7684"/>
    <w:rsid w:val="006F3AD1"/>
    <w:rsid w:val="00717E57"/>
    <w:rsid w:val="007B127D"/>
    <w:rsid w:val="00812C38"/>
    <w:rsid w:val="008504E8"/>
    <w:rsid w:val="008D0886"/>
    <w:rsid w:val="00985DC4"/>
    <w:rsid w:val="009C550C"/>
    <w:rsid w:val="00B02156"/>
    <w:rsid w:val="00B07372"/>
    <w:rsid w:val="00B54243"/>
    <w:rsid w:val="00B92EA6"/>
    <w:rsid w:val="00BA12C7"/>
    <w:rsid w:val="00BD6959"/>
    <w:rsid w:val="00BF6BEA"/>
    <w:rsid w:val="00C72023"/>
    <w:rsid w:val="00DA42F0"/>
    <w:rsid w:val="00E26130"/>
    <w:rsid w:val="00E269CF"/>
    <w:rsid w:val="00E97160"/>
    <w:rsid w:val="00EA05CC"/>
    <w:rsid w:val="00F836DB"/>
    <w:rsid w:val="20B10B46"/>
    <w:rsid w:val="3E1039C7"/>
    <w:rsid w:val="549024B9"/>
    <w:rsid w:val="56101618"/>
    <w:rsid w:val="618C3BA2"/>
    <w:rsid w:val="753A20B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qFormat="1" w:unhideWhenUsed="0" w:uiPriority="0" w:semiHidden="0" w:name="List Paragraph"/>
  </w:latentStyles>
  <w:style w:type="paragraph" w:default="1" w:styleId="1">
    <w:name w:val="Normal"/>
    <w:qFormat/>
    <w:uiPriority w:val="0"/>
    <w:pPr>
      <w:spacing w:after="0" w:line="240" w:lineRule="auto"/>
      <w:ind w:firstLine="709"/>
      <w:jc w:val="both"/>
    </w:pPr>
    <w:rPr>
      <w:rFonts w:ascii="Times New Roman" w:hAnsi="Times New Roman" w:eastAsia="Times New Roman" w:cs="Times New Roman"/>
      <w:sz w:val="28"/>
      <w:szCs w:val="22"/>
      <w:lang w:val="ru-RU" w:eastAsia="en-US" w:bidi="ar-SA"/>
    </w:rPr>
  </w:style>
  <w:style w:type="paragraph" w:styleId="2">
    <w:name w:val="heading 1"/>
    <w:basedOn w:val="1"/>
    <w:next w:val="1"/>
    <w:link w:val="20"/>
    <w:qFormat/>
    <w:uiPriority w:val="9"/>
    <w:pPr>
      <w:keepNext/>
      <w:keepLines/>
      <w:spacing w:before="24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1"/>
    <w:next w:val="1"/>
    <w:link w:val="31"/>
    <w:semiHidden/>
    <w:unhideWhenUsed/>
    <w:qFormat/>
    <w:uiPriority w:val="9"/>
    <w:pPr>
      <w:keepNext/>
      <w:keepLines/>
      <w:spacing w:before="40" w:line="259" w:lineRule="auto"/>
      <w:ind w:firstLine="0"/>
      <w:jc w:val="left"/>
      <w:outlineLvl w:val="1"/>
    </w:pPr>
    <w:rPr>
      <w:rFonts w:asciiTheme="majorHAnsi" w:hAnsiTheme="majorHAnsi" w:eastAsiaTheme="majorEastAsia" w:cstheme="majorBidi"/>
      <w:color w:val="2F5597" w:themeColor="accent1" w:themeShade="BF"/>
      <w:sz w:val="26"/>
      <w:szCs w:val="26"/>
    </w:rPr>
  </w:style>
  <w:style w:type="paragraph" w:styleId="4">
    <w:name w:val="heading 3"/>
    <w:basedOn w:val="1"/>
    <w:next w:val="1"/>
    <w:link w:val="32"/>
    <w:semiHidden/>
    <w:unhideWhenUsed/>
    <w:qFormat/>
    <w:uiPriority w:val="9"/>
    <w:pPr>
      <w:keepNext/>
      <w:keepLines/>
      <w:spacing w:before="40" w:line="259" w:lineRule="auto"/>
      <w:ind w:firstLine="0"/>
      <w:jc w:val="left"/>
      <w:outlineLvl w:val="2"/>
    </w:pPr>
    <w:rPr>
      <w:rFonts w:asciiTheme="majorHAnsi" w:hAnsiTheme="majorHAnsi" w:eastAsiaTheme="majorEastAsia" w:cstheme="majorBidi"/>
      <w:color w:val="203864" w:themeColor="accent1" w:themeShade="80"/>
      <w:sz w:val="24"/>
      <w:szCs w:val="24"/>
    </w:rPr>
  </w:style>
  <w:style w:type="paragraph" w:styleId="5">
    <w:name w:val="heading 4"/>
    <w:basedOn w:val="1"/>
    <w:next w:val="1"/>
    <w:link w:val="33"/>
    <w:semiHidden/>
    <w:unhideWhenUsed/>
    <w:qFormat/>
    <w:uiPriority w:val="9"/>
    <w:pPr>
      <w:keepNext/>
      <w:keepLines/>
      <w:spacing w:before="40" w:line="259" w:lineRule="auto"/>
      <w:ind w:firstLine="0"/>
      <w:jc w:val="left"/>
      <w:outlineLvl w:val="3"/>
    </w:pPr>
    <w:rPr>
      <w:rFonts w:asciiTheme="majorHAnsi" w:hAnsiTheme="majorHAnsi" w:eastAsiaTheme="majorEastAsia" w:cstheme="majorBidi"/>
      <w:i/>
      <w:iCs/>
      <w:color w:val="2F5597" w:themeColor="accent1" w:themeShade="BF"/>
      <w:sz w:val="22"/>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annotation reference"/>
    <w:basedOn w:val="6"/>
    <w:semiHidden/>
    <w:unhideWhenUsed/>
    <w:qFormat/>
    <w:uiPriority w:val="99"/>
    <w:rPr>
      <w:sz w:val="16"/>
      <w:szCs w:val="16"/>
    </w:rPr>
  </w:style>
  <w:style w:type="character" w:styleId="9">
    <w:name w:val="Hyperlink"/>
    <w:basedOn w:val="6"/>
    <w:unhideWhenUsed/>
    <w:qFormat/>
    <w:uiPriority w:val="99"/>
    <w:rPr>
      <w:color w:val="0563C1" w:themeColor="hyperlink"/>
      <w:u w:val="single"/>
      <w14:textFill>
        <w14:solidFill>
          <w14:schemeClr w14:val="hlink"/>
        </w14:solidFill>
      </w14:textFill>
    </w:rPr>
  </w:style>
  <w:style w:type="paragraph" w:styleId="10">
    <w:name w:val="caption"/>
    <w:basedOn w:val="1"/>
    <w:next w:val="1"/>
    <w:qFormat/>
    <w:uiPriority w:val="0"/>
    <w:pPr>
      <w:spacing w:before="120" w:after="120"/>
      <w:ind w:firstLine="0"/>
      <w:jc w:val="center"/>
    </w:pPr>
    <w:rPr>
      <w:b/>
      <w:bCs/>
      <w:sz w:val="22"/>
      <w:szCs w:val="20"/>
      <w:lang w:eastAsia="ru-RU"/>
    </w:rPr>
  </w:style>
  <w:style w:type="paragraph" w:styleId="11">
    <w:name w:val="annotation text"/>
    <w:basedOn w:val="1"/>
    <w:link w:val="46"/>
    <w:semiHidden/>
    <w:unhideWhenUsed/>
    <w:uiPriority w:val="99"/>
    <w:pPr>
      <w:spacing w:after="160"/>
      <w:ind w:firstLine="0"/>
      <w:jc w:val="left"/>
    </w:pPr>
    <w:rPr>
      <w:rFonts w:asciiTheme="minorHAnsi" w:hAnsiTheme="minorHAnsi" w:eastAsiaTheme="minorHAnsi" w:cstheme="minorBidi"/>
      <w:sz w:val="20"/>
      <w:szCs w:val="20"/>
    </w:rPr>
  </w:style>
  <w:style w:type="paragraph" w:styleId="12">
    <w:name w:val="annotation subject"/>
    <w:basedOn w:val="11"/>
    <w:next w:val="11"/>
    <w:link w:val="47"/>
    <w:semiHidden/>
    <w:unhideWhenUsed/>
    <w:qFormat/>
    <w:uiPriority w:val="99"/>
    <w:rPr>
      <w:b/>
      <w:bCs/>
    </w:rPr>
  </w:style>
  <w:style w:type="paragraph" w:styleId="13">
    <w:name w:val="header"/>
    <w:basedOn w:val="1"/>
    <w:link w:val="24"/>
    <w:unhideWhenUsed/>
    <w:qFormat/>
    <w:uiPriority w:val="99"/>
    <w:pPr>
      <w:tabs>
        <w:tab w:val="center" w:pos="4677"/>
        <w:tab w:val="right" w:pos="9355"/>
      </w:tabs>
      <w:ind w:firstLine="0"/>
      <w:jc w:val="left"/>
    </w:pPr>
    <w:rPr>
      <w:rFonts w:asciiTheme="minorHAnsi" w:hAnsiTheme="minorHAnsi" w:eastAsiaTheme="minorHAnsi" w:cstheme="minorBidi"/>
      <w:sz w:val="22"/>
    </w:rPr>
  </w:style>
  <w:style w:type="paragraph" w:styleId="14">
    <w:name w:val="Body Text"/>
    <w:basedOn w:val="1"/>
    <w:link w:val="55"/>
    <w:qFormat/>
    <w:uiPriority w:val="1"/>
    <w:pPr>
      <w:widowControl w:val="0"/>
      <w:autoSpaceDE w:val="0"/>
      <w:autoSpaceDN w:val="0"/>
      <w:ind w:firstLine="0"/>
      <w:jc w:val="left"/>
    </w:pPr>
    <w:rPr>
      <w:sz w:val="26"/>
      <w:szCs w:val="26"/>
      <w:lang w:val="en-US"/>
    </w:rPr>
  </w:style>
  <w:style w:type="paragraph" w:styleId="15">
    <w:name w:val="toc 1"/>
    <w:basedOn w:val="1"/>
    <w:next w:val="1"/>
    <w:unhideWhenUsed/>
    <w:qFormat/>
    <w:uiPriority w:val="39"/>
    <w:pPr>
      <w:spacing w:after="100" w:line="259" w:lineRule="auto"/>
      <w:ind w:firstLine="0"/>
      <w:jc w:val="left"/>
    </w:pPr>
    <w:rPr>
      <w:rFonts w:asciiTheme="minorHAnsi" w:hAnsiTheme="minorHAnsi" w:eastAsiaTheme="minorHAnsi" w:cstheme="minorBidi"/>
      <w:sz w:val="22"/>
    </w:rPr>
  </w:style>
  <w:style w:type="paragraph" w:styleId="16">
    <w:name w:val="toc 3"/>
    <w:basedOn w:val="1"/>
    <w:next w:val="1"/>
    <w:unhideWhenUsed/>
    <w:uiPriority w:val="39"/>
    <w:pPr>
      <w:spacing w:after="100" w:line="259" w:lineRule="auto"/>
      <w:ind w:left="440" w:firstLine="0"/>
      <w:jc w:val="left"/>
    </w:pPr>
    <w:rPr>
      <w:rFonts w:asciiTheme="minorHAnsi" w:hAnsiTheme="minorHAnsi" w:eastAsiaTheme="minorHAnsi" w:cstheme="minorBidi"/>
      <w:sz w:val="22"/>
    </w:rPr>
  </w:style>
  <w:style w:type="paragraph" w:styleId="17">
    <w:name w:val="toc 2"/>
    <w:basedOn w:val="1"/>
    <w:next w:val="1"/>
    <w:unhideWhenUsed/>
    <w:uiPriority w:val="39"/>
    <w:pPr>
      <w:spacing w:after="100" w:line="259" w:lineRule="auto"/>
      <w:ind w:left="220" w:firstLine="0"/>
      <w:jc w:val="left"/>
    </w:pPr>
    <w:rPr>
      <w:rFonts w:asciiTheme="minorHAnsi" w:hAnsiTheme="minorHAnsi" w:eastAsiaTheme="minorHAnsi" w:cstheme="minorBidi"/>
      <w:sz w:val="22"/>
    </w:rPr>
  </w:style>
  <w:style w:type="paragraph" w:styleId="18">
    <w:name w:val="footer"/>
    <w:basedOn w:val="1"/>
    <w:link w:val="25"/>
    <w:unhideWhenUsed/>
    <w:qFormat/>
    <w:uiPriority w:val="99"/>
    <w:pPr>
      <w:tabs>
        <w:tab w:val="center" w:pos="4677"/>
        <w:tab w:val="right" w:pos="9355"/>
      </w:tabs>
      <w:ind w:firstLine="0"/>
      <w:jc w:val="left"/>
    </w:pPr>
    <w:rPr>
      <w:rFonts w:asciiTheme="minorHAnsi" w:hAnsiTheme="minorHAnsi" w:eastAsiaTheme="minorHAnsi" w:cstheme="minorBidi"/>
      <w:sz w:val="22"/>
    </w:rPr>
  </w:style>
  <w:style w:type="table" w:styleId="19">
    <w:name w:val="Table Grid"/>
    <w:basedOn w:val="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
    <w:name w:val="Заголовок 1 Знак"/>
    <w:basedOn w:val="6"/>
    <w:link w:val="2"/>
    <w:qFormat/>
    <w:uiPriority w:val="9"/>
    <w:rPr>
      <w:rFonts w:asciiTheme="majorHAnsi" w:hAnsiTheme="majorHAnsi" w:eastAsiaTheme="majorEastAsia" w:cstheme="majorBidi"/>
      <w:color w:val="2F5597" w:themeColor="accent1" w:themeShade="BF"/>
      <w:sz w:val="32"/>
      <w:szCs w:val="32"/>
    </w:rPr>
  </w:style>
  <w:style w:type="paragraph" w:customStyle="1" w:styleId="21">
    <w:name w:val="Default"/>
    <w:qFormat/>
    <w:uiPriority w:val="0"/>
    <w:pPr>
      <w:autoSpaceDE w:val="0"/>
      <w:autoSpaceDN w:val="0"/>
      <w:adjustRightInd w:val="0"/>
      <w:spacing w:after="0" w:line="240" w:lineRule="auto"/>
    </w:pPr>
    <w:rPr>
      <w:rFonts w:ascii="Times New Roman" w:hAnsi="Times New Roman" w:cs="Times New Roman" w:eastAsiaTheme="minorHAnsi"/>
      <w:color w:val="000000"/>
      <w:sz w:val="24"/>
      <w:szCs w:val="24"/>
      <w:lang w:val="ru-RU" w:eastAsia="en-US" w:bidi="ar-SA"/>
    </w:rPr>
  </w:style>
  <w:style w:type="paragraph" w:styleId="22">
    <w:name w:val="List Paragraph"/>
    <w:basedOn w:val="1"/>
    <w:link w:val="26"/>
    <w:qFormat/>
    <w:uiPriority w:val="0"/>
    <w:pPr>
      <w:ind w:left="720"/>
      <w:contextualSpacing/>
    </w:pPr>
  </w:style>
  <w:style w:type="paragraph" w:customStyle="1" w:styleId="23">
    <w:name w:val="TOC Heading"/>
    <w:basedOn w:val="2"/>
    <w:next w:val="1"/>
    <w:unhideWhenUsed/>
    <w:qFormat/>
    <w:uiPriority w:val="39"/>
    <w:pPr>
      <w:spacing w:line="259" w:lineRule="auto"/>
      <w:ind w:firstLine="0"/>
      <w:jc w:val="left"/>
      <w:outlineLvl w:val="9"/>
    </w:pPr>
    <w:rPr>
      <w:lang w:eastAsia="ru-RU"/>
    </w:rPr>
  </w:style>
  <w:style w:type="character" w:customStyle="1" w:styleId="24">
    <w:name w:val="Верхний колонтитул Знак"/>
    <w:basedOn w:val="6"/>
    <w:link w:val="13"/>
    <w:qFormat/>
    <w:uiPriority w:val="99"/>
  </w:style>
  <w:style w:type="character" w:customStyle="1" w:styleId="25">
    <w:name w:val="Нижний колонтитул Знак"/>
    <w:basedOn w:val="6"/>
    <w:link w:val="18"/>
    <w:qFormat/>
    <w:uiPriority w:val="99"/>
  </w:style>
  <w:style w:type="character" w:customStyle="1" w:styleId="26">
    <w:name w:val="Абзац списка Знак"/>
    <w:link w:val="22"/>
    <w:qFormat/>
    <w:locked/>
    <w:uiPriority w:val="0"/>
    <w:rPr>
      <w:rFonts w:ascii="Times New Roman" w:hAnsi="Times New Roman" w:eastAsia="Times New Roman" w:cs="Times New Roman"/>
      <w:sz w:val="28"/>
    </w:rPr>
  </w:style>
  <w:style w:type="paragraph" w:styleId="27">
    <w:name w:val="No Spacing"/>
    <w:link w:val="28"/>
    <w:qFormat/>
    <w:uiPriority w:val="1"/>
    <w:pPr>
      <w:spacing w:after="0" w:line="240" w:lineRule="auto"/>
    </w:pPr>
    <w:rPr>
      <w:rFonts w:ascii="Calibri" w:hAnsi="Calibri" w:eastAsia="Calibri" w:cs="Times New Roman"/>
      <w:sz w:val="22"/>
      <w:szCs w:val="22"/>
      <w:lang w:val="ru-RU" w:eastAsia="en-US" w:bidi="ar-SA"/>
    </w:rPr>
  </w:style>
  <w:style w:type="character" w:customStyle="1" w:styleId="28">
    <w:name w:val="Без интервала Знак"/>
    <w:link w:val="27"/>
    <w:uiPriority w:val="1"/>
    <w:rPr>
      <w:rFonts w:ascii="Calibri" w:hAnsi="Calibri" w:eastAsia="Calibri" w:cs="Times New Roman"/>
    </w:rPr>
  </w:style>
  <w:style w:type="character" w:customStyle="1" w:styleId="29">
    <w:name w:val="_G_Обычный Знак"/>
    <w:link w:val="30"/>
    <w:locked/>
    <w:uiPriority w:val="0"/>
    <w:rPr>
      <w:rFonts w:ascii="Times New Roman" w:hAnsi="Times New Roman" w:cs="Times New Roman"/>
      <w:iCs/>
      <w:sz w:val="24"/>
      <w:szCs w:val="26"/>
    </w:rPr>
  </w:style>
  <w:style w:type="paragraph" w:customStyle="1" w:styleId="30">
    <w:name w:val="_G_Обычный"/>
    <w:basedOn w:val="1"/>
    <w:link w:val="29"/>
    <w:qFormat/>
    <w:uiPriority w:val="0"/>
    <w:pPr>
      <w:ind w:firstLine="567"/>
      <w:contextualSpacing/>
    </w:pPr>
    <w:rPr>
      <w:rFonts w:eastAsiaTheme="minorHAnsi"/>
      <w:iCs/>
      <w:sz w:val="24"/>
      <w:szCs w:val="26"/>
    </w:rPr>
  </w:style>
  <w:style w:type="character" w:customStyle="1" w:styleId="31">
    <w:name w:val="Заголовок 2 Знак"/>
    <w:basedOn w:val="6"/>
    <w:link w:val="3"/>
    <w:semiHidden/>
    <w:uiPriority w:val="9"/>
    <w:rPr>
      <w:rFonts w:asciiTheme="majorHAnsi" w:hAnsiTheme="majorHAnsi" w:eastAsiaTheme="majorEastAsia" w:cstheme="majorBidi"/>
      <w:color w:val="2F5597" w:themeColor="accent1" w:themeShade="BF"/>
      <w:sz w:val="26"/>
      <w:szCs w:val="26"/>
    </w:rPr>
  </w:style>
  <w:style w:type="character" w:customStyle="1" w:styleId="32">
    <w:name w:val="Заголовок 3 Знак"/>
    <w:basedOn w:val="6"/>
    <w:link w:val="4"/>
    <w:semiHidden/>
    <w:qFormat/>
    <w:uiPriority w:val="9"/>
    <w:rPr>
      <w:rFonts w:asciiTheme="majorHAnsi" w:hAnsiTheme="majorHAnsi" w:eastAsiaTheme="majorEastAsia" w:cstheme="majorBidi"/>
      <w:color w:val="203864" w:themeColor="accent1" w:themeShade="80"/>
      <w:sz w:val="24"/>
      <w:szCs w:val="24"/>
    </w:rPr>
  </w:style>
  <w:style w:type="character" w:customStyle="1" w:styleId="33">
    <w:name w:val="Заголовок 4 Знак"/>
    <w:basedOn w:val="6"/>
    <w:link w:val="5"/>
    <w:semiHidden/>
    <w:qFormat/>
    <w:uiPriority w:val="9"/>
    <w:rPr>
      <w:rFonts w:asciiTheme="majorHAnsi" w:hAnsiTheme="majorHAnsi" w:eastAsiaTheme="majorEastAsia" w:cstheme="majorBidi"/>
      <w:i/>
      <w:iCs/>
      <w:color w:val="2F5597" w:themeColor="accent1" w:themeShade="BF"/>
    </w:rPr>
  </w:style>
  <w:style w:type="table" w:customStyle="1" w:styleId="34">
    <w:name w:val="Сетка таблицы1"/>
    <w:basedOn w:val="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
    <w:name w:val="_G_Заголовок_1"/>
    <w:basedOn w:val="2"/>
    <w:next w:val="1"/>
    <w:link w:val="36"/>
    <w:qFormat/>
    <w:uiPriority w:val="0"/>
    <w:pPr>
      <w:numPr>
        <w:ilvl w:val="0"/>
        <w:numId w:val="1"/>
      </w:numPr>
      <w:tabs>
        <w:tab w:val="left" w:pos="1134"/>
      </w:tabs>
      <w:spacing w:after="240"/>
    </w:pPr>
    <w:rPr>
      <w:rFonts w:ascii="Times New Roman Полужирный" w:hAnsi="Times New Roman Полужирный" w:eastAsia="Times New Roman" w:cs="Times New Roman"/>
      <w:b/>
      <w:caps/>
      <w:color w:val="auto"/>
      <w:sz w:val="24"/>
      <w:szCs w:val="26"/>
    </w:rPr>
  </w:style>
  <w:style w:type="character" w:customStyle="1" w:styleId="36">
    <w:name w:val="_G_Заголовок_1 Знак"/>
    <w:link w:val="35"/>
    <w:qFormat/>
    <w:uiPriority w:val="0"/>
    <w:rPr>
      <w:rFonts w:ascii="Times New Roman Полужирный" w:hAnsi="Times New Roman Полужирный" w:eastAsia="Times New Roman" w:cs="Times New Roman"/>
      <w:b/>
      <w:caps/>
      <w:sz w:val="24"/>
      <w:szCs w:val="26"/>
    </w:rPr>
  </w:style>
  <w:style w:type="paragraph" w:customStyle="1" w:styleId="37">
    <w:name w:val="_G_Заголовок_2"/>
    <w:basedOn w:val="3"/>
    <w:next w:val="1"/>
    <w:link w:val="43"/>
    <w:qFormat/>
    <w:uiPriority w:val="0"/>
    <w:pPr>
      <w:numPr>
        <w:ilvl w:val="1"/>
        <w:numId w:val="1"/>
      </w:numPr>
      <w:tabs>
        <w:tab w:val="left" w:pos="1134"/>
      </w:tabs>
      <w:spacing w:before="240" w:after="240" w:line="240" w:lineRule="auto"/>
      <w:jc w:val="both"/>
    </w:pPr>
    <w:rPr>
      <w:rFonts w:ascii="Times New Roman Полужирный" w:hAnsi="Times New Roman Полужирный" w:eastAsia="Times New Roman" w:cs="Times New Roman"/>
      <w:b/>
      <w:iCs/>
      <w:caps/>
      <w:color w:val="auto"/>
      <w:sz w:val="24"/>
    </w:rPr>
  </w:style>
  <w:style w:type="paragraph" w:customStyle="1" w:styleId="38">
    <w:name w:val="_G_Заголовок_3"/>
    <w:basedOn w:val="4"/>
    <w:next w:val="1"/>
    <w:link w:val="44"/>
    <w:qFormat/>
    <w:uiPriority w:val="0"/>
    <w:pPr>
      <w:numPr>
        <w:ilvl w:val="2"/>
        <w:numId w:val="1"/>
      </w:numPr>
      <w:tabs>
        <w:tab w:val="left" w:pos="1134"/>
        <w:tab w:val="left" w:pos="1418"/>
      </w:tabs>
      <w:spacing w:before="240" w:after="120" w:line="240" w:lineRule="auto"/>
      <w:jc w:val="both"/>
    </w:pPr>
    <w:rPr>
      <w:rFonts w:ascii="Times New Roman" w:hAnsi="Times New Roman" w:eastAsia="Times New Roman" w:cs="Times New Roman"/>
      <w:b/>
      <w:color w:val="auto"/>
      <w:szCs w:val="26"/>
    </w:rPr>
  </w:style>
  <w:style w:type="paragraph" w:customStyle="1" w:styleId="39">
    <w:name w:val="_G_Заголовок_4"/>
    <w:basedOn w:val="5"/>
    <w:next w:val="1"/>
    <w:qFormat/>
    <w:uiPriority w:val="0"/>
    <w:pPr>
      <w:numPr>
        <w:ilvl w:val="3"/>
        <w:numId w:val="1"/>
      </w:numPr>
      <w:tabs>
        <w:tab w:val="clear" w:pos="567"/>
      </w:tabs>
      <w:spacing w:before="120" w:after="120" w:line="240" w:lineRule="auto"/>
      <w:ind w:left="0" w:firstLine="567"/>
      <w:jc w:val="both"/>
    </w:pPr>
    <w:rPr>
      <w:rFonts w:ascii="Times New Roman" w:hAnsi="Times New Roman" w:eastAsia="Times New Roman" w:cs="Times New Roman"/>
      <w:b/>
      <w:iCs w:val="0"/>
      <w:color w:val="auto"/>
      <w:sz w:val="24"/>
      <w:szCs w:val="26"/>
    </w:rPr>
  </w:style>
  <w:style w:type="paragraph" w:customStyle="1" w:styleId="40">
    <w:name w:val="_G_Таблица 1.1.1"/>
    <w:basedOn w:val="1"/>
    <w:next w:val="1"/>
    <w:qFormat/>
    <w:uiPriority w:val="0"/>
    <w:pPr>
      <w:numPr>
        <w:ilvl w:val="6"/>
        <w:numId w:val="1"/>
      </w:numPr>
      <w:tabs>
        <w:tab w:val="left" w:pos="2268"/>
      </w:tabs>
      <w:spacing w:before="120" w:after="120"/>
    </w:pPr>
    <w:rPr>
      <w:rFonts w:eastAsia="Calibri"/>
      <w:kern w:val="2"/>
      <w:sz w:val="24"/>
      <w:szCs w:val="24"/>
    </w:rPr>
  </w:style>
  <w:style w:type="paragraph" w:customStyle="1" w:styleId="41">
    <w:name w:val="_Подпись рисунка"/>
    <w:basedOn w:val="1"/>
    <w:next w:val="1"/>
    <w:qFormat/>
    <w:uiPriority w:val="0"/>
    <w:pPr>
      <w:numPr>
        <w:ilvl w:val="4"/>
        <w:numId w:val="1"/>
      </w:numPr>
      <w:spacing w:after="200"/>
      <w:contextualSpacing/>
      <w:jc w:val="center"/>
    </w:pPr>
    <w:rPr>
      <w:rFonts w:eastAsia="Calibri"/>
      <w:sz w:val="26"/>
      <w:szCs w:val="26"/>
    </w:rPr>
  </w:style>
  <w:style w:type="paragraph" w:customStyle="1" w:styleId="42">
    <w:name w:val="_Таблица 1.1.1.1.1"/>
    <w:basedOn w:val="1"/>
    <w:next w:val="1"/>
    <w:qFormat/>
    <w:uiPriority w:val="0"/>
    <w:pPr>
      <w:numPr>
        <w:ilvl w:val="8"/>
        <w:numId w:val="1"/>
      </w:numPr>
      <w:tabs>
        <w:tab w:val="left" w:pos="2268"/>
      </w:tabs>
      <w:spacing w:before="120" w:after="120"/>
      <w:ind w:right="-2"/>
    </w:pPr>
    <w:rPr>
      <w:rFonts w:eastAsia="Calibri"/>
      <w:kern w:val="2"/>
      <w:sz w:val="24"/>
      <w:szCs w:val="24"/>
    </w:rPr>
  </w:style>
  <w:style w:type="character" w:customStyle="1" w:styleId="43">
    <w:name w:val="_G_Заголовок_2 Знак"/>
    <w:link w:val="37"/>
    <w:qFormat/>
    <w:locked/>
    <w:uiPriority w:val="0"/>
    <w:rPr>
      <w:rFonts w:ascii="Times New Roman Полужирный" w:hAnsi="Times New Roman Полужирный" w:eastAsia="Times New Roman" w:cs="Times New Roman"/>
      <w:b/>
      <w:iCs/>
      <w:caps/>
      <w:sz w:val="24"/>
      <w:szCs w:val="26"/>
    </w:rPr>
  </w:style>
  <w:style w:type="character" w:customStyle="1" w:styleId="44">
    <w:name w:val="_G_Заголовок_3 Знак"/>
    <w:link w:val="38"/>
    <w:qFormat/>
    <w:locked/>
    <w:uiPriority w:val="0"/>
    <w:rPr>
      <w:rFonts w:ascii="Times New Roman" w:hAnsi="Times New Roman" w:eastAsia="Times New Roman" w:cs="Times New Roman"/>
      <w:b/>
      <w:sz w:val="24"/>
      <w:szCs w:val="26"/>
    </w:rPr>
  </w:style>
  <w:style w:type="table" w:customStyle="1" w:styleId="45">
    <w:name w:val="Сетка таблицы11"/>
    <w:basedOn w:val="7"/>
    <w:qFormat/>
    <w:uiPriority w:val="59"/>
    <w:pPr>
      <w:spacing w:after="0" w:line="240" w:lineRule="auto"/>
    </w:pPr>
    <w:rPr>
      <w:rFonts w:ascii="Calibri" w:hAnsi="Calibri" w:eastAsia="Calibri"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46">
    <w:name w:val="Текст примечания Знак"/>
    <w:basedOn w:val="6"/>
    <w:link w:val="11"/>
    <w:semiHidden/>
    <w:qFormat/>
    <w:uiPriority w:val="99"/>
    <w:rPr>
      <w:sz w:val="20"/>
      <w:szCs w:val="20"/>
    </w:rPr>
  </w:style>
  <w:style w:type="character" w:customStyle="1" w:styleId="47">
    <w:name w:val="Тема примечания Знак"/>
    <w:basedOn w:val="46"/>
    <w:link w:val="12"/>
    <w:semiHidden/>
    <w:qFormat/>
    <w:uiPriority w:val="99"/>
    <w:rPr>
      <w:b/>
      <w:bCs/>
      <w:sz w:val="20"/>
      <w:szCs w:val="20"/>
    </w:rPr>
  </w:style>
  <w:style w:type="paragraph" w:customStyle="1" w:styleId="48">
    <w:name w:val="_G_Таблица"/>
    <w:basedOn w:val="30"/>
    <w:link w:val="49"/>
    <w:qFormat/>
    <w:uiPriority w:val="0"/>
    <w:pPr>
      <w:ind w:firstLine="0"/>
      <w:jc w:val="center"/>
    </w:pPr>
    <w:rPr>
      <w:rFonts w:eastAsia="Calibri"/>
      <w:sz w:val="22"/>
      <w:szCs w:val="20"/>
      <w:lang w:eastAsia="ru-RU"/>
    </w:rPr>
  </w:style>
  <w:style w:type="character" w:customStyle="1" w:styleId="49">
    <w:name w:val="_G_Таблица Знак"/>
    <w:link w:val="48"/>
    <w:qFormat/>
    <w:uiPriority w:val="0"/>
    <w:rPr>
      <w:rFonts w:ascii="Times New Roman" w:hAnsi="Times New Roman" w:eastAsia="Calibri" w:cs="Times New Roman"/>
      <w:iCs/>
      <w:szCs w:val="20"/>
      <w:lang w:eastAsia="ru-RU"/>
    </w:rPr>
  </w:style>
  <w:style w:type="paragraph" w:customStyle="1" w:styleId="50">
    <w:name w:val="_Об_Таблица"/>
    <w:basedOn w:val="1"/>
    <w:link w:val="51"/>
    <w:qFormat/>
    <w:uiPriority w:val="0"/>
    <w:pPr>
      <w:spacing w:before="120" w:after="120"/>
      <w:ind w:firstLine="0"/>
      <w:contextualSpacing/>
      <w:jc w:val="center"/>
    </w:pPr>
    <w:rPr>
      <w:rFonts w:eastAsia="Calibri"/>
      <w:iCs/>
      <w:kern w:val="2"/>
      <w:sz w:val="20"/>
      <w:szCs w:val="20"/>
      <w:lang w:eastAsia="ru-RU"/>
    </w:rPr>
  </w:style>
  <w:style w:type="character" w:customStyle="1" w:styleId="51">
    <w:name w:val="_Об_Таблица Знак"/>
    <w:link w:val="50"/>
    <w:uiPriority w:val="0"/>
    <w:rPr>
      <w:rFonts w:ascii="Times New Roman" w:hAnsi="Times New Roman" w:eastAsia="Calibri" w:cs="Times New Roman"/>
      <w:iCs/>
      <w:kern w:val="2"/>
      <w:sz w:val="20"/>
      <w:szCs w:val="20"/>
      <w:lang w:eastAsia="ru-RU"/>
    </w:rPr>
  </w:style>
  <w:style w:type="paragraph" w:customStyle="1" w:styleId="52">
    <w:name w:val="formattext"/>
    <w:basedOn w:val="1"/>
    <w:qFormat/>
    <w:uiPriority w:val="0"/>
    <w:pPr>
      <w:spacing w:before="100" w:beforeAutospacing="1" w:after="100" w:afterAutospacing="1"/>
      <w:ind w:firstLine="0"/>
      <w:jc w:val="left"/>
    </w:pPr>
    <w:rPr>
      <w:sz w:val="24"/>
      <w:szCs w:val="24"/>
      <w:lang w:eastAsia="ru-RU"/>
    </w:rPr>
  </w:style>
  <w:style w:type="paragraph" w:customStyle="1" w:styleId="53">
    <w:name w:val="sh_#основной"/>
    <w:basedOn w:val="1"/>
    <w:link w:val="54"/>
    <w:qFormat/>
    <w:uiPriority w:val="0"/>
    <w:pPr>
      <w:spacing w:before="40" w:after="40" w:line="276" w:lineRule="auto"/>
      <w:ind w:firstLine="567"/>
    </w:pPr>
    <w:rPr>
      <w:rFonts w:ascii="Roboto Condensed" w:hAnsi="Roboto Condensed"/>
      <w:color w:val="000000"/>
      <w:sz w:val="20"/>
      <w:lang w:eastAsia="ru-RU"/>
    </w:rPr>
  </w:style>
  <w:style w:type="character" w:customStyle="1" w:styleId="54">
    <w:name w:val="sh_#основной Знак"/>
    <w:link w:val="53"/>
    <w:uiPriority w:val="0"/>
    <w:rPr>
      <w:rFonts w:ascii="Roboto Condensed" w:hAnsi="Roboto Condensed" w:eastAsia="Times New Roman" w:cs="Times New Roman"/>
      <w:color w:val="000000"/>
      <w:sz w:val="20"/>
      <w:lang w:eastAsia="ru-RU"/>
    </w:rPr>
  </w:style>
  <w:style w:type="character" w:customStyle="1" w:styleId="55">
    <w:name w:val="Основной текст Знак"/>
    <w:basedOn w:val="6"/>
    <w:link w:val="14"/>
    <w:qFormat/>
    <w:uiPriority w:val="1"/>
    <w:rPr>
      <w:rFonts w:ascii="Times New Roman" w:hAnsi="Times New Roman" w:eastAsia="Times New Roman" w:cs="Times New Roman"/>
      <w:sz w:val="26"/>
      <w:szCs w:val="26"/>
      <w:lang w:val="en-US"/>
    </w:rPr>
  </w:style>
  <w:style w:type="paragraph" w:customStyle="1" w:styleId="56">
    <w:name w:val="Normal + 10 пт полужирный По центру Слева:  -02 см Справ..."/>
    <w:basedOn w:val="1"/>
    <w:link w:val="57"/>
    <w:qFormat/>
    <w:uiPriority w:val="0"/>
    <w:pPr>
      <w:ind w:left="-57" w:right="-113" w:firstLine="0"/>
      <w:jc w:val="left"/>
    </w:pPr>
    <w:rPr>
      <w:b/>
      <w:bCs/>
      <w:sz w:val="20"/>
      <w:szCs w:val="20"/>
      <w:lang w:eastAsia="ru-RU"/>
    </w:rPr>
  </w:style>
  <w:style w:type="character" w:customStyle="1" w:styleId="57">
    <w:name w:val="Normal + 10 пт полужирный По центру Слева:  -02 см Справ... Знак"/>
    <w:basedOn w:val="6"/>
    <w:link w:val="56"/>
    <w:qFormat/>
    <w:uiPriority w:val="0"/>
    <w:rPr>
      <w:rFonts w:ascii="Times New Roman" w:hAnsi="Times New Roman" w:eastAsia="Times New Roman" w:cs="Times New Roman"/>
      <w:b/>
      <w:bCs/>
      <w:sz w:val="20"/>
      <w:szCs w:val="20"/>
      <w:lang w:eastAsia="ru-RU"/>
    </w:rPr>
  </w:style>
  <w:style w:type="paragraph" w:customStyle="1" w:styleId="58">
    <w:name w:val="Заголовок_подзаголовок_1"/>
    <w:next w:val="1"/>
    <w:link w:val="59"/>
    <w:qFormat/>
    <w:uiPriority w:val="99"/>
    <w:pPr>
      <w:keepNext/>
      <w:spacing w:before="120" w:after="60" w:line="240" w:lineRule="auto"/>
      <w:ind w:left="567"/>
      <w:jc w:val="both"/>
    </w:pPr>
    <w:rPr>
      <w:rFonts w:ascii="Times New Roman" w:hAnsi="Times New Roman" w:eastAsia="Times New Roman" w:cs="Times New Roman"/>
      <w:b/>
      <w:bCs/>
      <w:sz w:val="24"/>
      <w:szCs w:val="24"/>
      <w:u w:val="single"/>
      <w:lang w:val="ru-RU" w:eastAsia="ru-RU" w:bidi="ar-SA"/>
    </w:rPr>
  </w:style>
  <w:style w:type="character" w:customStyle="1" w:styleId="59">
    <w:name w:val="Заголовок_подзаголовок_1 Знак"/>
    <w:basedOn w:val="6"/>
    <w:link w:val="58"/>
    <w:qFormat/>
    <w:locked/>
    <w:uiPriority w:val="99"/>
    <w:rPr>
      <w:rFonts w:ascii="Times New Roman" w:hAnsi="Times New Roman" w:eastAsia="Times New Roman" w:cs="Times New Roman"/>
      <w:b/>
      <w:bCs/>
      <w:sz w:val="24"/>
      <w:szCs w:val="24"/>
      <w:u w:val="single"/>
      <w:lang w:eastAsia="ru-RU"/>
    </w:rPr>
  </w:style>
  <w:style w:type="character" w:customStyle="1" w:styleId="60">
    <w:name w:val="info"/>
    <w:basedOn w:val="6"/>
    <w:qFormat/>
    <w:uiPriority w:val="0"/>
  </w:style>
  <w:style w:type="character" w:customStyle="1" w:styleId="61">
    <w:name w:val="Font Style459"/>
    <w:qFormat/>
    <w:uiPriority w:val="0"/>
    <w:rPr>
      <w:rFonts w:ascii="Times New Roman" w:hAnsi="Times New Roman" w:cs="Times New Roman"/>
      <w:sz w:val="20"/>
      <w:szCs w:val="20"/>
    </w:rPr>
  </w:style>
  <w:style w:type="paragraph" w:customStyle="1" w:styleId="62">
    <w:name w:val="S_Обычный жирный"/>
    <w:basedOn w:val="1"/>
    <w:qFormat/>
    <w:uiPriority w:val="0"/>
    <w:rPr>
      <w:szCs w:val="28"/>
      <w:lang w:eastAsia="ru-RU"/>
    </w:rPr>
  </w:style>
  <w:style w:type="paragraph" w:customStyle="1" w:styleId="63">
    <w:name w:val="Табличный_боковик_11"/>
    <w:link w:val="64"/>
    <w:qFormat/>
    <w:uiPriority w:val="0"/>
    <w:pPr>
      <w:spacing w:after="0" w:line="240" w:lineRule="auto"/>
    </w:pPr>
    <w:rPr>
      <w:rFonts w:ascii="Times New Roman" w:hAnsi="Times New Roman" w:eastAsia="Times New Roman" w:cs="Times New Roman"/>
      <w:sz w:val="22"/>
      <w:szCs w:val="24"/>
      <w:lang w:val="ru-RU" w:eastAsia="ru-RU" w:bidi="ar-SA"/>
    </w:rPr>
  </w:style>
  <w:style w:type="character" w:customStyle="1" w:styleId="64">
    <w:name w:val="Табличный_боковик_11 Знак"/>
    <w:link w:val="63"/>
    <w:qFormat/>
    <w:uiPriority w:val="0"/>
    <w:rPr>
      <w:rFonts w:ascii="Times New Roman" w:hAnsi="Times New Roman" w:eastAsia="Times New Roman" w:cs="Times New Roman"/>
      <w:szCs w:val="24"/>
      <w:lang w:eastAsia="ru-RU"/>
    </w:rPr>
  </w:style>
  <w:style w:type="character" w:customStyle="1" w:styleId="65">
    <w:name w:val="Основной текст Знак1"/>
    <w:qFormat/>
    <w:locked/>
    <w:uiPriority w:val="99"/>
    <w:rPr>
      <w:rFonts w:hint="default" w:ascii="Times New Roman" w:hAnsi="Times New Roman" w:cs="Times New Roman"/>
      <w:sz w:val="23"/>
      <w:szCs w:val="23"/>
      <w:shd w:val="clear" w:color="auto" w:fill="FFFFFF"/>
    </w:rPr>
  </w:style>
  <w:style w:type="character" w:customStyle="1" w:styleId="66">
    <w:name w:val="Основной текст + 10 pt"/>
    <w:qFormat/>
    <w:uiPriority w:val="99"/>
    <w:rPr>
      <w:rFonts w:hint="default" w:ascii="Times New Roman" w:hAnsi="Times New Roman" w:cs="Times New Roman"/>
      <w:sz w:val="20"/>
      <w:szCs w:val="20"/>
      <w:shd w:val="clear" w:color="auto" w:fill="FFFFFF"/>
    </w:rPr>
  </w:style>
  <w:style w:type="character" w:customStyle="1" w:styleId="67">
    <w:name w:val="Основной текст + Полужирный"/>
    <w:uiPriority w:val="99"/>
    <w:rPr>
      <w:rFonts w:hint="default" w:ascii="Times New Roman" w:hAnsi="Times New Roman" w:cs="Times New Roman"/>
      <w:b/>
      <w:bCs/>
      <w:sz w:val="23"/>
      <w:szCs w:val="23"/>
      <w:shd w:val="clear" w:color="auto" w:fill="FFFFFF"/>
    </w:rPr>
  </w:style>
  <w:style w:type="paragraph" w:customStyle="1" w:styleId="68">
    <w:name w:val="Обычный2"/>
    <w:uiPriority w:val="0"/>
    <w:pPr>
      <w:snapToGrid w:val="0"/>
      <w:spacing w:after="0" w:line="240" w:lineRule="auto"/>
    </w:pPr>
    <w:rPr>
      <w:rFonts w:ascii="Times New Roman" w:hAnsi="Times New Roman" w:eastAsia="Calibri" w:cs="Times New Roman"/>
      <w:sz w:val="22"/>
      <w:szCs w:val="20"/>
      <w:lang w:val="ru-RU" w:eastAsia="ru-RU"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AB994-9ECA-4548-A154-D287030A7E8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12419</Words>
  <Characters>70791</Characters>
  <Lines>589</Lines>
  <Paragraphs>166</Paragraphs>
  <TotalTime>0</TotalTime>
  <ScaleCrop>false</ScaleCrop>
  <LinksUpToDate>false</LinksUpToDate>
  <CharactersWithSpaces>83044</CharactersWithSpaces>
  <Application>WPS Office_12.2.0.13215_F1E327BC-269C-435d-A152-05C5408002CA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2023-08-29T14:15:00Z</dcterms:created>
  <dc:creator>Дашулич</dc:creator>
  <cp:lastModifiedBy>Уютный бар</cp:lastModifiedBy>
  <dcterms:modified xsi:type="dcterms:W3CDTF">2023-10-03T07:39:30Z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1049-12.2.0.13215</vt:lpwstr>
  </property>
  <property fmtid="{D5CDD505-2E9C-101B-9397-08002B2CF9AE}" pid="3" name="ICV">
    <vt:lpwstr>8DB586573A214FA89DBDF68219108A68_13</vt:lpwstr>
  </property>
</Properties>
</file>